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B39D078" w14:textId="77777777" w:rsidR="00854EDB" w:rsidRPr="00B60D55" w:rsidRDefault="00854EDB" w:rsidP="00B60D55">
      <w:pPr>
        <w:jc w:val="center"/>
        <w:rPr>
          <w:rFonts w:ascii="Arial" w:hAnsi="Arial" w:cs="Arial"/>
          <w:b/>
          <w:sz w:val="32"/>
          <w:szCs w:val="32"/>
          <w:u w:val="single"/>
        </w:rPr>
      </w:pPr>
      <w:bookmarkStart w:id="0" w:name="_GoBack"/>
      <w:bookmarkEnd w:id="0"/>
      <w:r w:rsidRPr="00B60D55">
        <w:rPr>
          <w:rFonts w:ascii="Arial" w:hAnsi="Arial" w:cs="Arial"/>
          <w:b/>
          <w:sz w:val="32"/>
          <w:szCs w:val="32"/>
          <w:u w:val="single"/>
        </w:rPr>
        <w:t>Připomínky k dani z neočekávaných zisků</w:t>
      </w:r>
    </w:p>
    <w:p w14:paraId="43FF3CBF" w14:textId="77777777" w:rsidR="00854EDB" w:rsidRDefault="00854EDB" w:rsidP="00F408EF">
      <w:pPr>
        <w:jc w:val="both"/>
        <w:rPr>
          <w:rFonts w:ascii="Arial" w:hAnsi="Arial" w:cs="Arial"/>
          <w:b/>
          <w:sz w:val="24"/>
          <w:szCs w:val="24"/>
          <w:u w:val="single"/>
        </w:rPr>
      </w:pPr>
    </w:p>
    <w:p w14:paraId="31CA4B39" w14:textId="77777777" w:rsidR="00854EDB" w:rsidRPr="00F408EF" w:rsidRDefault="00854EDB" w:rsidP="00F408EF">
      <w:pPr>
        <w:jc w:val="both"/>
        <w:rPr>
          <w:rFonts w:ascii="Arial" w:hAnsi="Arial" w:cs="Arial"/>
          <w:b/>
          <w:sz w:val="24"/>
          <w:szCs w:val="24"/>
          <w:u w:val="single"/>
        </w:rPr>
      </w:pPr>
      <w:r>
        <w:rPr>
          <w:rFonts w:ascii="Arial" w:hAnsi="Arial" w:cs="Arial"/>
          <w:b/>
          <w:sz w:val="24"/>
          <w:szCs w:val="24"/>
          <w:u w:val="single"/>
        </w:rPr>
        <w:t>1)</w:t>
      </w:r>
      <w:r w:rsidRPr="00F408EF">
        <w:rPr>
          <w:rFonts w:ascii="Arial" w:hAnsi="Arial" w:cs="Arial"/>
          <w:b/>
          <w:sz w:val="24"/>
          <w:szCs w:val="24"/>
          <w:u w:val="single"/>
        </w:rPr>
        <w:t xml:space="preserve"> K §17c návrhu</w:t>
      </w:r>
    </w:p>
    <w:p w14:paraId="23DCF5F5" w14:textId="372A97B6" w:rsidR="00854EDB" w:rsidRDefault="00854EDB" w:rsidP="00F408EF">
      <w:pPr>
        <w:jc w:val="both"/>
        <w:rPr>
          <w:rFonts w:ascii="Arial" w:hAnsi="Arial" w:cs="Arial"/>
          <w:sz w:val="24"/>
          <w:szCs w:val="24"/>
        </w:rPr>
      </w:pPr>
      <w:r>
        <w:rPr>
          <w:rFonts w:ascii="Arial" w:hAnsi="Arial" w:cs="Arial"/>
          <w:sz w:val="24"/>
          <w:szCs w:val="24"/>
        </w:rPr>
        <w:t>1</w:t>
      </w:r>
      <w:r w:rsidR="00DC0C8C">
        <w:rPr>
          <w:rFonts w:ascii="Arial" w:hAnsi="Arial" w:cs="Arial"/>
          <w:sz w:val="24"/>
          <w:szCs w:val="24"/>
        </w:rPr>
        <w:t>a</w:t>
      </w:r>
      <w:r w:rsidRPr="00F408EF">
        <w:rPr>
          <w:rFonts w:ascii="Arial" w:hAnsi="Arial" w:cs="Arial"/>
          <w:sz w:val="24"/>
          <w:szCs w:val="24"/>
        </w:rPr>
        <w:t xml:space="preserve"> Podle § 17c odst. 6 písm. a) návrhu se rozhodné příjmy pro daň z neočekávaných zisků určí jako úhrn čistého obratu podle zákona upravující účetnictví. Z tohoto hlediska není zřejmé, co všechno bude do stanovených limitů započítáváno</w:t>
      </w:r>
      <w:r w:rsidR="00B8484C">
        <w:rPr>
          <w:rFonts w:ascii="Arial" w:hAnsi="Arial" w:cs="Arial"/>
          <w:sz w:val="24"/>
          <w:szCs w:val="24"/>
        </w:rPr>
        <w:t xml:space="preserve"> zvláště u poplatníka, který má více činností</w:t>
      </w:r>
      <w:r w:rsidRPr="00F408EF">
        <w:rPr>
          <w:rFonts w:ascii="Arial" w:hAnsi="Arial" w:cs="Arial"/>
          <w:sz w:val="24"/>
          <w:szCs w:val="24"/>
        </w:rPr>
        <w:t>. Pokud by se vzal celkový obrat daného poplatníka</w:t>
      </w:r>
      <w:r w:rsidR="00B8484C">
        <w:rPr>
          <w:rFonts w:ascii="Arial" w:hAnsi="Arial" w:cs="Arial"/>
          <w:sz w:val="24"/>
          <w:szCs w:val="24"/>
        </w:rPr>
        <w:t xml:space="preserve"> (tak je </w:t>
      </w:r>
      <w:proofErr w:type="spellStart"/>
      <w:r w:rsidR="00B8484C">
        <w:rPr>
          <w:rFonts w:ascii="Arial" w:hAnsi="Arial" w:cs="Arial"/>
          <w:sz w:val="24"/>
          <w:szCs w:val="24"/>
        </w:rPr>
        <w:t>definováná</w:t>
      </w:r>
      <w:proofErr w:type="spellEnd"/>
      <w:r w:rsidR="00B8484C">
        <w:rPr>
          <w:rFonts w:ascii="Arial" w:hAnsi="Arial" w:cs="Arial"/>
          <w:sz w:val="24"/>
          <w:szCs w:val="24"/>
        </w:rPr>
        <w:t xml:space="preserve"> čistý obrat dle </w:t>
      </w:r>
      <w:proofErr w:type="spellStart"/>
      <w:r w:rsidR="00B8484C">
        <w:rPr>
          <w:rFonts w:ascii="Arial" w:hAnsi="Arial" w:cs="Arial"/>
          <w:sz w:val="24"/>
          <w:szCs w:val="24"/>
        </w:rPr>
        <w:t>ZoÚ</w:t>
      </w:r>
      <w:proofErr w:type="spellEnd"/>
      <w:r w:rsidR="00B8484C">
        <w:rPr>
          <w:rFonts w:ascii="Arial" w:hAnsi="Arial" w:cs="Arial"/>
          <w:sz w:val="24"/>
          <w:szCs w:val="24"/>
        </w:rPr>
        <w:t>)</w:t>
      </w:r>
      <w:r w:rsidRPr="00F408EF">
        <w:rPr>
          <w:rFonts w:ascii="Arial" w:hAnsi="Arial" w:cs="Arial"/>
          <w:sz w:val="24"/>
          <w:szCs w:val="24"/>
        </w:rPr>
        <w:t>, dostali bychom se k nesmyslnému závěru, že pokud by u nějakého subjektu předmětem činnosti byl velkoobchod s kapalnými palivy, stačilo by dosáhnout z této činnosti minimálního obratu v řádu stokorun, ale pokud by celkový roční obrat</w:t>
      </w:r>
      <w:r>
        <w:rPr>
          <w:rFonts w:ascii="Arial" w:hAnsi="Arial" w:cs="Arial"/>
          <w:sz w:val="24"/>
          <w:szCs w:val="24"/>
        </w:rPr>
        <w:t xml:space="preserve"> dané společnosti</w:t>
      </w:r>
      <w:r w:rsidRPr="00F408EF">
        <w:rPr>
          <w:rFonts w:ascii="Arial" w:hAnsi="Arial" w:cs="Arial"/>
          <w:sz w:val="24"/>
          <w:szCs w:val="24"/>
        </w:rPr>
        <w:t xml:space="preserve"> byl nad stanovený limit </w:t>
      </w:r>
      <w:smartTag w:uri="urn:schemas-microsoft-com:office:smarttags" w:element="metricconverter">
        <w:smartTagPr>
          <w:attr w:name="ProductID" w:val="5 mil"/>
        </w:smartTagPr>
        <w:r w:rsidRPr="00F408EF">
          <w:rPr>
            <w:rFonts w:ascii="Arial" w:hAnsi="Arial" w:cs="Arial"/>
            <w:sz w:val="24"/>
            <w:szCs w:val="24"/>
          </w:rPr>
          <w:t>5 mil</w:t>
        </w:r>
      </w:smartTag>
      <w:r w:rsidRPr="00F408EF">
        <w:rPr>
          <w:rFonts w:ascii="Arial" w:hAnsi="Arial" w:cs="Arial"/>
          <w:sz w:val="24"/>
          <w:szCs w:val="24"/>
        </w:rPr>
        <w:t>. Kč resp. 2 mld. Kč, poplatník by se stal poplatníkem z daně neočekávaných zisků, což není zřejmě smysl dané úpravy. Pokud by se do daných limitů započítávaly jen určité výnosy, je nutné stanovit, které to budou. Např., zda budou zahrnovány kurzové rozdíly výnosové a pokud ano, které, zda budou zahrnovány výnosy z derivátů vztahujících se k daným obchodům, výnosy z</w:t>
      </w:r>
      <w:r>
        <w:rPr>
          <w:rFonts w:ascii="Arial" w:hAnsi="Arial" w:cs="Arial"/>
          <w:sz w:val="24"/>
          <w:szCs w:val="24"/>
        </w:rPr>
        <w:t xml:space="preserve"> prodeje</w:t>
      </w:r>
      <w:r w:rsidRPr="00F408EF">
        <w:rPr>
          <w:rFonts w:ascii="Arial" w:hAnsi="Arial" w:cs="Arial"/>
          <w:sz w:val="24"/>
          <w:szCs w:val="24"/>
        </w:rPr>
        <w:t xml:space="preserve"> majetku sloužícího k realizaci daných činností apod. </w:t>
      </w:r>
      <w:r w:rsidR="00B8484C">
        <w:rPr>
          <w:rFonts w:ascii="Arial" w:hAnsi="Arial" w:cs="Arial"/>
          <w:sz w:val="24"/>
          <w:szCs w:val="24"/>
        </w:rPr>
        <w:t xml:space="preserve">Z tohoto hlediska bychom doporučil použít </w:t>
      </w:r>
      <w:proofErr w:type="gramStart"/>
      <w:r w:rsidR="00B8484C">
        <w:rPr>
          <w:rFonts w:ascii="Arial" w:hAnsi="Arial" w:cs="Arial"/>
          <w:sz w:val="24"/>
          <w:szCs w:val="24"/>
        </w:rPr>
        <w:t>postup který</w:t>
      </w:r>
      <w:proofErr w:type="gramEnd"/>
      <w:r w:rsidR="00B8484C">
        <w:rPr>
          <w:rFonts w:ascii="Arial" w:hAnsi="Arial" w:cs="Arial"/>
          <w:sz w:val="24"/>
          <w:szCs w:val="24"/>
        </w:rPr>
        <w:t xml:space="preserve"> byl zvolen v případě postupu dle § 38na ZDP (viz. pokyn D-22 K § 38na)</w:t>
      </w:r>
      <w:r w:rsidR="005459B4">
        <w:rPr>
          <w:rFonts w:ascii="Arial" w:hAnsi="Arial" w:cs="Arial"/>
          <w:sz w:val="24"/>
          <w:szCs w:val="24"/>
        </w:rPr>
        <w:t>.</w:t>
      </w:r>
    </w:p>
    <w:p w14:paraId="1B04C1E2" w14:textId="246E9C01" w:rsidR="00B8484C" w:rsidRPr="00F408EF" w:rsidRDefault="00B8484C" w:rsidP="00F408EF">
      <w:pPr>
        <w:jc w:val="both"/>
        <w:rPr>
          <w:rFonts w:ascii="Arial" w:hAnsi="Arial" w:cs="Arial"/>
          <w:sz w:val="24"/>
          <w:szCs w:val="24"/>
        </w:rPr>
      </w:pPr>
    </w:p>
    <w:p w14:paraId="6ED47691" w14:textId="77777777" w:rsidR="00854EDB" w:rsidRPr="00F408EF" w:rsidRDefault="00854EDB" w:rsidP="00F408EF">
      <w:pPr>
        <w:jc w:val="both"/>
        <w:rPr>
          <w:rFonts w:ascii="Arial" w:hAnsi="Arial" w:cs="Arial"/>
          <w:sz w:val="24"/>
          <w:szCs w:val="24"/>
          <w:u w:val="single"/>
        </w:rPr>
      </w:pPr>
      <w:r w:rsidRPr="00F408EF">
        <w:rPr>
          <w:rFonts w:ascii="Arial" w:hAnsi="Arial" w:cs="Arial"/>
          <w:sz w:val="24"/>
          <w:szCs w:val="24"/>
          <w:u w:val="single"/>
        </w:rPr>
        <w:t>Návrh řešení:</w:t>
      </w:r>
    </w:p>
    <w:p w14:paraId="286AE9B5" w14:textId="77777777" w:rsidR="005459B4" w:rsidRDefault="00854EDB" w:rsidP="00F408EF">
      <w:pPr>
        <w:jc w:val="both"/>
        <w:rPr>
          <w:rFonts w:ascii="Arial" w:hAnsi="Arial" w:cs="Arial"/>
          <w:sz w:val="24"/>
          <w:szCs w:val="24"/>
        </w:rPr>
      </w:pPr>
      <w:r w:rsidRPr="00F408EF">
        <w:rPr>
          <w:rFonts w:ascii="Arial" w:hAnsi="Arial" w:cs="Arial"/>
          <w:sz w:val="24"/>
          <w:szCs w:val="24"/>
        </w:rPr>
        <w:t xml:space="preserve">Navrhujeme jednoznačně odstranit výše uvedené výkladové nejasnosti, ať již </w:t>
      </w:r>
      <w:r>
        <w:rPr>
          <w:rFonts w:ascii="Arial" w:hAnsi="Arial" w:cs="Arial"/>
          <w:sz w:val="24"/>
          <w:szCs w:val="24"/>
        </w:rPr>
        <w:t>v</w:t>
      </w:r>
      <w:r w:rsidRPr="00F408EF">
        <w:rPr>
          <w:rFonts w:ascii="Arial" w:hAnsi="Arial" w:cs="Arial"/>
          <w:sz w:val="24"/>
          <w:szCs w:val="24"/>
        </w:rPr>
        <w:t xml:space="preserve"> textu zákona či vysvětlením v důvodové zprávě</w:t>
      </w:r>
      <w:r w:rsidR="005459B4">
        <w:rPr>
          <w:rFonts w:ascii="Arial" w:hAnsi="Arial" w:cs="Arial"/>
          <w:sz w:val="24"/>
          <w:szCs w:val="24"/>
        </w:rPr>
        <w:t xml:space="preserve"> a to z použití výkladu dle § 38na ZDP v pokynu D-22 to je:</w:t>
      </w:r>
    </w:p>
    <w:p w14:paraId="67D597B7" w14:textId="780AF542" w:rsidR="00854EDB" w:rsidRPr="005459B4" w:rsidRDefault="005459B4" w:rsidP="00F408EF">
      <w:pPr>
        <w:jc w:val="both"/>
        <w:rPr>
          <w:rFonts w:ascii="Arial" w:hAnsi="Arial" w:cs="Arial"/>
          <w:sz w:val="24"/>
          <w:szCs w:val="24"/>
        </w:rPr>
      </w:pPr>
      <w:r w:rsidRPr="00371AD7">
        <w:rPr>
          <w:rFonts w:ascii="Arial" w:hAnsi="Arial" w:cs="Arial"/>
          <w:sz w:val="24"/>
          <w:szCs w:val="24"/>
        </w:rPr>
        <w:t xml:space="preserve">To je, že jde o tržby za zboží a vlastní výkony z rozhodných činností zaúčtované do výnosů podle zvláštního právního předpisu. Pro účely tohoto </w:t>
      </w:r>
      <w:proofErr w:type="gramStart"/>
      <w:r w:rsidRPr="00371AD7">
        <w:rPr>
          <w:rFonts w:ascii="Arial" w:hAnsi="Arial" w:cs="Arial"/>
          <w:sz w:val="24"/>
          <w:szCs w:val="24"/>
        </w:rPr>
        <w:t>ustanovení  se</w:t>
      </w:r>
      <w:proofErr w:type="gramEnd"/>
      <w:r w:rsidRPr="00371AD7">
        <w:rPr>
          <w:rFonts w:ascii="Arial" w:hAnsi="Arial" w:cs="Arial"/>
          <w:sz w:val="24"/>
          <w:szCs w:val="24"/>
        </w:rPr>
        <w:t xml:space="preserve"> za čistá obrat nepovažuji výnosy, které nelze přiřadit přímo k jednotlivým rozhodným činnostem (např. výnosy z prodeje hmotného nebo nehmotného majetku, úroky, kurzové zisky, výnosy z prodeje cenných papírů, výnosy z postoupení pohledávek, ostatní výnosy z právně zaniklých dluhů, výnos vzniklý přijatou úhradou pohledávky nabyté postoupením, která převýší její pořizovací cenu, apod.), nebo výnosy vyplývající z účetních metod</w:t>
      </w:r>
      <w:r w:rsidR="00C44C59">
        <w:rPr>
          <w:rFonts w:ascii="Arial" w:hAnsi="Arial" w:cs="Arial"/>
          <w:sz w:val="24"/>
          <w:szCs w:val="24"/>
        </w:rPr>
        <w:t>.</w:t>
      </w:r>
    </w:p>
    <w:p w14:paraId="67652CE7" w14:textId="77777777" w:rsidR="00FD41C8" w:rsidRPr="00F408EF" w:rsidRDefault="00FD41C8" w:rsidP="00FD41C8">
      <w:pPr>
        <w:jc w:val="both"/>
        <w:rPr>
          <w:rFonts w:ascii="Arial" w:hAnsi="Arial" w:cs="Arial"/>
          <w:sz w:val="24"/>
          <w:szCs w:val="24"/>
        </w:rPr>
      </w:pPr>
      <w:r>
        <w:rPr>
          <w:rFonts w:ascii="Arial" w:hAnsi="Arial" w:cs="Arial"/>
          <w:sz w:val="24"/>
          <w:szCs w:val="24"/>
        </w:rPr>
        <w:t>1b) Návrh zákona pracuje v otázce rozhodných příjmů s různými termíny jako „plynout“, „dosáhnout“, „mít“. Doporučujeme tuto terminologii sjednotit, případně v důvodové zprávě vyjasnit, že všechny tyto termíny mají pro účely daně z neočekávaných zisků stejný význam.</w:t>
      </w:r>
    </w:p>
    <w:p w14:paraId="6B2D4C0D" w14:textId="77777777" w:rsidR="00FD41C8" w:rsidRDefault="00FD41C8" w:rsidP="00F408EF">
      <w:pPr>
        <w:jc w:val="both"/>
        <w:rPr>
          <w:rFonts w:ascii="Arial" w:hAnsi="Arial" w:cs="Arial"/>
          <w:b/>
          <w:sz w:val="24"/>
          <w:szCs w:val="24"/>
          <w:u w:val="single"/>
        </w:rPr>
      </w:pPr>
    </w:p>
    <w:p w14:paraId="082A3375" w14:textId="576FE481" w:rsidR="00854EDB" w:rsidRPr="00F408EF" w:rsidRDefault="00854EDB" w:rsidP="00F408EF">
      <w:pPr>
        <w:jc w:val="both"/>
        <w:rPr>
          <w:rFonts w:ascii="Arial" w:hAnsi="Arial" w:cs="Arial"/>
          <w:b/>
          <w:sz w:val="24"/>
          <w:szCs w:val="24"/>
          <w:u w:val="single"/>
        </w:rPr>
      </w:pPr>
      <w:r w:rsidRPr="00F408EF">
        <w:rPr>
          <w:rFonts w:ascii="Arial" w:hAnsi="Arial" w:cs="Arial"/>
          <w:b/>
          <w:sz w:val="24"/>
          <w:szCs w:val="24"/>
          <w:u w:val="single"/>
        </w:rPr>
        <w:t>2. K § 17</w:t>
      </w:r>
      <w:r w:rsidR="00B8484C">
        <w:rPr>
          <w:rFonts w:ascii="Arial" w:hAnsi="Arial" w:cs="Arial"/>
          <w:b/>
          <w:sz w:val="24"/>
          <w:szCs w:val="24"/>
          <w:u w:val="single"/>
        </w:rPr>
        <w:t>c</w:t>
      </w:r>
      <w:r w:rsidRPr="00F408EF">
        <w:rPr>
          <w:rFonts w:ascii="Arial" w:hAnsi="Arial" w:cs="Arial"/>
          <w:b/>
          <w:sz w:val="24"/>
          <w:szCs w:val="24"/>
          <w:u w:val="single"/>
        </w:rPr>
        <w:t xml:space="preserve"> odst. 3 návrhu</w:t>
      </w:r>
    </w:p>
    <w:p w14:paraId="175DFB64" w14:textId="54F10BC9" w:rsidR="005459B4" w:rsidRDefault="00DC0C8C" w:rsidP="00F408EF">
      <w:pPr>
        <w:jc w:val="both"/>
        <w:rPr>
          <w:rFonts w:ascii="Arial" w:hAnsi="Arial" w:cs="Arial"/>
          <w:sz w:val="24"/>
          <w:szCs w:val="24"/>
        </w:rPr>
      </w:pPr>
      <w:r>
        <w:rPr>
          <w:rFonts w:ascii="Arial" w:hAnsi="Arial" w:cs="Arial"/>
          <w:sz w:val="24"/>
          <w:szCs w:val="24"/>
        </w:rPr>
        <w:t xml:space="preserve">2.1. </w:t>
      </w:r>
      <w:r w:rsidR="00854EDB" w:rsidRPr="00F408EF">
        <w:rPr>
          <w:rFonts w:ascii="Arial" w:hAnsi="Arial" w:cs="Arial"/>
          <w:sz w:val="24"/>
          <w:szCs w:val="24"/>
        </w:rPr>
        <w:t>Z důvodové zprávy vyplývá, že pokud půjde o skupinu podniků dle tohoto odstavce, mají být poplatníky daně z neočekávaných zisků všechny společnosti ve skupině, i když vůbec neprovozují rozhodnout činnost (výjimka platí pro banky, které jsou posuzovány samostatně)</w:t>
      </w:r>
      <w:r w:rsidR="005459B4">
        <w:rPr>
          <w:rFonts w:ascii="Arial" w:hAnsi="Arial" w:cs="Arial"/>
          <w:sz w:val="24"/>
          <w:szCs w:val="24"/>
        </w:rPr>
        <w:t>:</w:t>
      </w:r>
    </w:p>
    <w:p w14:paraId="1A9D6798" w14:textId="1BC07AB8" w:rsidR="005459B4" w:rsidRPr="00371AD7" w:rsidRDefault="005459B4" w:rsidP="005459B4">
      <w:pPr>
        <w:spacing w:before="120" w:after="120"/>
        <w:rPr>
          <w:rFonts w:ascii="Arial" w:hAnsi="Arial" w:cs="Arial"/>
          <w:b/>
          <w:bCs/>
          <w:sz w:val="24"/>
          <w:szCs w:val="24"/>
          <w:u w:val="single"/>
        </w:rPr>
      </w:pPr>
      <w:r w:rsidRPr="00371AD7">
        <w:rPr>
          <w:rFonts w:ascii="Arial" w:hAnsi="Arial" w:cs="Arial"/>
          <w:b/>
          <w:bCs/>
          <w:sz w:val="24"/>
          <w:szCs w:val="24"/>
          <w:u w:val="single"/>
        </w:rPr>
        <w:t>Důvodová zpráva K bodu 1 (§ 17c)</w:t>
      </w:r>
    </w:p>
    <w:p w14:paraId="546C91DD" w14:textId="77777777" w:rsidR="003A7EC7" w:rsidRDefault="005459B4" w:rsidP="00F408EF">
      <w:pPr>
        <w:jc w:val="both"/>
        <w:rPr>
          <w:rFonts w:ascii="Arial" w:hAnsi="Arial" w:cs="Arial"/>
          <w:sz w:val="24"/>
          <w:szCs w:val="24"/>
        </w:rPr>
      </w:pPr>
      <w:r w:rsidRPr="00371AD7">
        <w:rPr>
          <w:rFonts w:ascii="Arial" w:hAnsi="Arial" w:cs="Arial"/>
          <w:sz w:val="24"/>
          <w:szCs w:val="24"/>
        </w:rPr>
        <w:lastRenderedPageBreak/>
        <w:t xml:space="preserve">Druhé kritérium uvedené v odstavci 1 pro to, aby se poplatník stal poplatníkem daně z neočekávaných zisků, je založeno na výši rozhodných příjmů pro daň z neočekávaných zisků za první účetní období skončené od 1. ledna 2021 (tedy zpravidla kalendářní rok 2021 nebo hospodářský rok počínající v roce 2020, mohou však nastat i jinak dlouhá účetní období), a je uvedeno odlišně pro poplatníky, kteří nejsou bankou (písmeno a)), a pro poplatníky, kteří jsou bankou (písmeno b)). Pro poplatníky, kteří nejsou bankou, je tento limit stanoven na 2 000 000 000 Kč (viz odst. 1 písm. a) bod 2).  V případě, že dosáhne rozhodných příjmů skupina (§ 17c odst. 1 písm. a) bod 1 a odst. 2), splní tuto podmínku pro to být poplatníkem daně z neočekávaných zisků každý její člen bez ohledu na to, zda sám dosáhl tohoto limitu rozhodných příjmů. </w:t>
      </w:r>
      <w:r>
        <w:rPr>
          <w:rFonts w:ascii="Arial" w:hAnsi="Arial" w:cs="Arial"/>
          <w:sz w:val="24"/>
          <w:szCs w:val="24"/>
        </w:rPr>
        <w:t xml:space="preserve"> </w:t>
      </w:r>
    </w:p>
    <w:p w14:paraId="0CC2D1D7" w14:textId="4C424A74" w:rsidR="005459B4" w:rsidRPr="005459B4" w:rsidRDefault="005459B4" w:rsidP="00F408EF">
      <w:pPr>
        <w:jc w:val="both"/>
        <w:rPr>
          <w:rFonts w:ascii="Arial" w:hAnsi="Arial" w:cs="Arial"/>
          <w:sz w:val="24"/>
          <w:szCs w:val="24"/>
        </w:rPr>
      </w:pPr>
      <w:r>
        <w:rPr>
          <w:rFonts w:ascii="Arial" w:hAnsi="Arial" w:cs="Arial"/>
          <w:sz w:val="24"/>
          <w:szCs w:val="24"/>
        </w:rPr>
        <w:t>Tento závěr je však dle našeho názoru v rozporu s textem právní normy, kdy by měly být zahrnovány i ve skupině pouze</w:t>
      </w:r>
      <w:r w:rsidR="003A7EC7">
        <w:rPr>
          <w:rFonts w:ascii="Arial" w:hAnsi="Arial" w:cs="Arial"/>
          <w:sz w:val="24"/>
          <w:szCs w:val="24"/>
        </w:rPr>
        <w:t xml:space="preserve"> společnosti</w:t>
      </w:r>
      <w:r>
        <w:rPr>
          <w:rFonts w:ascii="Arial" w:hAnsi="Arial" w:cs="Arial"/>
          <w:sz w:val="24"/>
          <w:szCs w:val="24"/>
        </w:rPr>
        <w:t>, které mají výnosy s rozhodných činností nad 5 mil. Kč</w:t>
      </w:r>
    </w:p>
    <w:p w14:paraId="5604B92A" w14:textId="2D77A7C4" w:rsidR="00854EDB" w:rsidRPr="00F408EF" w:rsidRDefault="00854EDB" w:rsidP="00F408EF">
      <w:pPr>
        <w:jc w:val="both"/>
        <w:rPr>
          <w:rFonts w:ascii="Arial" w:hAnsi="Arial" w:cs="Arial"/>
          <w:sz w:val="24"/>
          <w:szCs w:val="24"/>
        </w:rPr>
      </w:pPr>
      <w:r w:rsidRPr="00F408EF">
        <w:rPr>
          <w:rFonts w:ascii="Arial" w:hAnsi="Arial" w:cs="Arial"/>
          <w:sz w:val="24"/>
          <w:szCs w:val="24"/>
        </w:rPr>
        <w:t>V  případě</w:t>
      </w:r>
      <w:r w:rsidR="005459B4">
        <w:rPr>
          <w:rFonts w:ascii="Arial" w:hAnsi="Arial" w:cs="Arial"/>
          <w:sz w:val="24"/>
          <w:szCs w:val="24"/>
        </w:rPr>
        <w:t xml:space="preserve">, kdy by daná daň </w:t>
      </w:r>
      <w:proofErr w:type="gramStart"/>
      <w:r w:rsidR="005459B4">
        <w:rPr>
          <w:rFonts w:ascii="Arial" w:hAnsi="Arial" w:cs="Arial"/>
          <w:sz w:val="24"/>
          <w:szCs w:val="24"/>
        </w:rPr>
        <w:t>měla</w:t>
      </w:r>
      <w:proofErr w:type="gramEnd"/>
      <w:r w:rsidR="005459B4">
        <w:rPr>
          <w:rFonts w:ascii="Arial" w:hAnsi="Arial" w:cs="Arial"/>
          <w:sz w:val="24"/>
          <w:szCs w:val="24"/>
        </w:rPr>
        <w:t xml:space="preserve"> dopadat na všechny společnosti ve skupině</w:t>
      </w:r>
      <w:r w:rsidRPr="00F408EF">
        <w:rPr>
          <w:rFonts w:ascii="Arial" w:hAnsi="Arial" w:cs="Arial"/>
          <w:sz w:val="24"/>
          <w:szCs w:val="24"/>
        </w:rPr>
        <w:t xml:space="preserve"> </w:t>
      </w:r>
      <w:proofErr w:type="gramStart"/>
      <w:r w:rsidRPr="00F408EF">
        <w:rPr>
          <w:rFonts w:ascii="Arial" w:hAnsi="Arial" w:cs="Arial"/>
          <w:sz w:val="24"/>
          <w:szCs w:val="24"/>
        </w:rPr>
        <w:t>může</w:t>
      </w:r>
      <w:proofErr w:type="gramEnd"/>
      <w:r w:rsidRPr="00F408EF">
        <w:rPr>
          <w:rFonts w:ascii="Arial" w:hAnsi="Arial" w:cs="Arial"/>
          <w:sz w:val="24"/>
          <w:szCs w:val="24"/>
        </w:rPr>
        <w:t xml:space="preserve"> být legitimním argumentem majícím ústavní rozměr neodůvodněná diskriminace poplatníků, neboť v rozporu se smyslem a cílem navrhované daně by tato daň dopadala na rozličné obory, na které dopadat nemá. Tím </w:t>
      </w:r>
      <w:r>
        <w:rPr>
          <w:rFonts w:ascii="Arial" w:hAnsi="Arial" w:cs="Arial"/>
          <w:sz w:val="24"/>
          <w:szCs w:val="24"/>
        </w:rPr>
        <w:t xml:space="preserve">by </w:t>
      </w:r>
      <w:r w:rsidRPr="00F408EF">
        <w:rPr>
          <w:rFonts w:ascii="Arial" w:hAnsi="Arial" w:cs="Arial"/>
          <w:sz w:val="24"/>
          <w:szCs w:val="24"/>
        </w:rPr>
        <w:t>pak tyto obory</w:t>
      </w:r>
      <w:r>
        <w:rPr>
          <w:rFonts w:ascii="Arial" w:hAnsi="Arial" w:cs="Arial"/>
          <w:sz w:val="24"/>
          <w:szCs w:val="24"/>
        </w:rPr>
        <w:t xml:space="preserve"> </w:t>
      </w:r>
      <w:r w:rsidRPr="00F408EF">
        <w:rPr>
          <w:rFonts w:ascii="Arial" w:hAnsi="Arial" w:cs="Arial"/>
          <w:sz w:val="24"/>
          <w:szCs w:val="24"/>
        </w:rPr>
        <w:t>(služby, cestovní ruch, zemědělství, potraviny, strojírenství apod.)</w:t>
      </w:r>
      <w:r>
        <w:rPr>
          <w:rFonts w:ascii="Arial" w:hAnsi="Arial" w:cs="Arial"/>
          <w:sz w:val="24"/>
          <w:szCs w:val="24"/>
        </w:rPr>
        <w:t xml:space="preserve"> resp. společnosti ve skupině, které je provozují,</w:t>
      </w:r>
      <w:r w:rsidRPr="00F408EF">
        <w:rPr>
          <w:rFonts w:ascii="Arial" w:hAnsi="Arial" w:cs="Arial"/>
          <w:sz w:val="24"/>
          <w:szCs w:val="24"/>
        </w:rPr>
        <w:t xml:space="preserve"> byly nedůvodně zvýhodněny oproti jiným společnostem, které nebudou členy takovéto zasažené skupiny. </w:t>
      </w:r>
    </w:p>
    <w:p w14:paraId="55C1C345" w14:textId="6EC287B8" w:rsidR="00854EDB" w:rsidRPr="00F408EF" w:rsidRDefault="00DC0C8C" w:rsidP="00F408EF">
      <w:pPr>
        <w:jc w:val="both"/>
        <w:rPr>
          <w:rFonts w:ascii="Arial" w:hAnsi="Arial" w:cs="Arial"/>
          <w:sz w:val="24"/>
          <w:szCs w:val="24"/>
        </w:rPr>
      </w:pPr>
      <w:r>
        <w:rPr>
          <w:rFonts w:ascii="Arial" w:hAnsi="Arial" w:cs="Arial"/>
          <w:sz w:val="24"/>
          <w:szCs w:val="24"/>
          <w:u w:val="single"/>
        </w:rPr>
        <w:t xml:space="preserve">2.1.1. </w:t>
      </w:r>
      <w:r w:rsidR="00854EDB" w:rsidRPr="00F408EF">
        <w:rPr>
          <w:rFonts w:ascii="Arial" w:hAnsi="Arial" w:cs="Arial"/>
          <w:sz w:val="24"/>
          <w:szCs w:val="24"/>
          <w:u w:val="single"/>
        </w:rPr>
        <w:t xml:space="preserve">Návrh </w:t>
      </w:r>
      <w:proofErr w:type="spellStart"/>
      <w:r w:rsidR="00854EDB" w:rsidRPr="00F408EF">
        <w:rPr>
          <w:rFonts w:ascii="Arial" w:hAnsi="Arial" w:cs="Arial"/>
          <w:sz w:val="24"/>
          <w:szCs w:val="24"/>
          <w:u w:val="single"/>
        </w:rPr>
        <w:t>řešení:</w:t>
      </w:r>
      <w:r w:rsidR="005459B4">
        <w:rPr>
          <w:rFonts w:ascii="Arial" w:hAnsi="Arial" w:cs="Arial"/>
          <w:sz w:val="24"/>
          <w:szCs w:val="24"/>
        </w:rPr>
        <w:t>Domníváme</w:t>
      </w:r>
      <w:proofErr w:type="spellEnd"/>
      <w:r w:rsidR="005459B4">
        <w:rPr>
          <w:rFonts w:ascii="Arial" w:hAnsi="Arial" w:cs="Arial"/>
          <w:sz w:val="24"/>
          <w:szCs w:val="24"/>
        </w:rPr>
        <w:t>, že  v</w:t>
      </w:r>
      <w:r w:rsidR="00854EDB" w:rsidRPr="00F408EF">
        <w:rPr>
          <w:rFonts w:ascii="Arial" w:hAnsi="Arial" w:cs="Arial"/>
          <w:sz w:val="24"/>
          <w:szCs w:val="24"/>
        </w:rPr>
        <w:t xml:space="preserve">zhledem k potencionálním námitkám nezákonné diskriminace a vzhledem k smyslu a cíli právní </w:t>
      </w:r>
      <w:proofErr w:type="gramStart"/>
      <w:r w:rsidR="00854EDB" w:rsidRPr="00F408EF">
        <w:rPr>
          <w:rFonts w:ascii="Arial" w:hAnsi="Arial" w:cs="Arial"/>
          <w:sz w:val="24"/>
          <w:szCs w:val="24"/>
        </w:rPr>
        <w:t>normy , by</w:t>
      </w:r>
      <w:proofErr w:type="gramEnd"/>
      <w:r w:rsidR="00854EDB" w:rsidRPr="00F408EF">
        <w:rPr>
          <w:rFonts w:ascii="Arial" w:hAnsi="Arial" w:cs="Arial"/>
          <w:sz w:val="24"/>
          <w:szCs w:val="24"/>
        </w:rPr>
        <w:t xml:space="preserve"> daná daň i v případě skupiny podniků dopadala pouze na společnosti zabývající se rozhodnými činnostmi.</w:t>
      </w:r>
      <w:r w:rsidR="005459B4">
        <w:rPr>
          <w:rFonts w:ascii="Arial" w:hAnsi="Arial" w:cs="Arial"/>
          <w:sz w:val="24"/>
          <w:szCs w:val="24"/>
        </w:rPr>
        <w:t xml:space="preserve"> Tomu odpovídá text </w:t>
      </w:r>
      <w:proofErr w:type="gramStart"/>
      <w:r w:rsidR="005459B4">
        <w:rPr>
          <w:rFonts w:ascii="Arial" w:hAnsi="Arial" w:cs="Arial"/>
          <w:sz w:val="24"/>
          <w:szCs w:val="24"/>
        </w:rPr>
        <w:t>návrhu proto</w:t>
      </w:r>
      <w:proofErr w:type="gramEnd"/>
      <w:r w:rsidR="005459B4">
        <w:rPr>
          <w:rFonts w:ascii="Arial" w:hAnsi="Arial" w:cs="Arial"/>
          <w:sz w:val="24"/>
          <w:szCs w:val="24"/>
        </w:rPr>
        <w:t xml:space="preserve"> navrhujeme adekvátně upravit důvodovou zprávu.</w:t>
      </w:r>
    </w:p>
    <w:p w14:paraId="28BCB36B" w14:textId="77777777" w:rsidR="00DC0C8C" w:rsidRPr="00F408EF" w:rsidRDefault="00DC0C8C" w:rsidP="00DC0C8C">
      <w:pPr>
        <w:jc w:val="both"/>
        <w:rPr>
          <w:rFonts w:ascii="Arial" w:hAnsi="Arial" w:cs="Arial"/>
          <w:sz w:val="24"/>
          <w:szCs w:val="24"/>
        </w:rPr>
      </w:pPr>
      <w:r>
        <w:rPr>
          <w:rFonts w:ascii="Arial" w:hAnsi="Arial" w:cs="Arial"/>
          <w:sz w:val="24"/>
          <w:szCs w:val="24"/>
        </w:rPr>
        <w:t xml:space="preserve">2.2. Návrh zákona definuje skupinu s neočekávanými zisky v případě, že </w:t>
      </w:r>
      <w:r w:rsidRPr="008E218B">
        <w:rPr>
          <w:rFonts w:ascii="Arial" w:hAnsi="Arial" w:cs="Arial"/>
          <w:i/>
          <w:iCs/>
          <w:sz w:val="24"/>
          <w:szCs w:val="24"/>
        </w:rPr>
        <w:t>„úhrn rozhodných příjmů pro daň z neočekávaných zisků poplatníků, kteří jsou součástí této skupiny, za první vykazované účetní období skončené od 1. ledna 2021 dosáhl 2 000 000 000 Kč.“</w:t>
      </w:r>
    </w:p>
    <w:p w14:paraId="6A3BE596" w14:textId="2AAAB3C6" w:rsidR="00DC0C8C" w:rsidRPr="008E218B" w:rsidRDefault="00DC0C8C" w:rsidP="00DC0C8C">
      <w:pPr>
        <w:jc w:val="both"/>
        <w:rPr>
          <w:rFonts w:ascii="Arial" w:hAnsi="Arial" w:cs="Arial"/>
          <w:sz w:val="24"/>
          <w:szCs w:val="24"/>
          <w:u w:val="single"/>
        </w:rPr>
      </w:pPr>
      <w:r w:rsidRPr="008E218B">
        <w:rPr>
          <w:rFonts w:ascii="Arial" w:hAnsi="Arial" w:cs="Arial"/>
          <w:sz w:val="24"/>
          <w:szCs w:val="24"/>
          <w:u w:val="single"/>
        </w:rPr>
        <w:t>2.2.</w:t>
      </w:r>
      <w:r>
        <w:rPr>
          <w:rFonts w:ascii="Arial" w:hAnsi="Arial" w:cs="Arial"/>
          <w:sz w:val="24"/>
          <w:szCs w:val="24"/>
          <w:u w:val="single"/>
        </w:rPr>
        <w:t>1.</w:t>
      </w:r>
      <w:r w:rsidRPr="008E218B">
        <w:rPr>
          <w:rFonts w:ascii="Arial" w:hAnsi="Arial" w:cs="Arial"/>
          <w:sz w:val="24"/>
          <w:szCs w:val="24"/>
          <w:u w:val="single"/>
        </w:rPr>
        <w:t xml:space="preserve"> Návrh řešení:</w:t>
      </w:r>
    </w:p>
    <w:p w14:paraId="5C07D629" w14:textId="16E3A3E8" w:rsidR="00DC0C8C" w:rsidRDefault="00DC0C8C" w:rsidP="00DC0C8C">
      <w:pPr>
        <w:jc w:val="both"/>
        <w:rPr>
          <w:rFonts w:ascii="Arial" w:hAnsi="Arial" w:cs="Arial"/>
          <w:b/>
          <w:sz w:val="24"/>
          <w:szCs w:val="24"/>
          <w:u w:val="single"/>
        </w:rPr>
      </w:pPr>
      <w:r w:rsidRPr="008E218B">
        <w:rPr>
          <w:rFonts w:ascii="Arial" w:hAnsi="Arial" w:cs="Arial"/>
          <w:sz w:val="24"/>
          <w:szCs w:val="24"/>
        </w:rPr>
        <w:t>Navrhujeme do legislativního textu před limit 2 mld. Kč doplnit slovo „alespoň“ tak</w:t>
      </w:r>
      <w:r>
        <w:rPr>
          <w:rFonts w:ascii="Arial" w:hAnsi="Arial" w:cs="Arial"/>
          <w:sz w:val="24"/>
          <w:szCs w:val="24"/>
        </w:rPr>
        <w:t>,</w:t>
      </w:r>
      <w:r w:rsidRPr="008E218B">
        <w:rPr>
          <w:rFonts w:ascii="Arial" w:hAnsi="Arial" w:cs="Arial"/>
          <w:sz w:val="24"/>
          <w:szCs w:val="24"/>
        </w:rPr>
        <w:t xml:space="preserve"> aby byl text konzistentní s ostatními ustanoveními navrhovaného legislativního textu</w:t>
      </w:r>
    </w:p>
    <w:p w14:paraId="056D17F2" w14:textId="77777777" w:rsidR="00854EDB" w:rsidRDefault="00854EDB" w:rsidP="00F408EF">
      <w:pPr>
        <w:jc w:val="both"/>
        <w:rPr>
          <w:rFonts w:ascii="Arial" w:hAnsi="Arial" w:cs="Arial"/>
          <w:b/>
          <w:sz w:val="24"/>
          <w:szCs w:val="24"/>
          <w:u w:val="single"/>
        </w:rPr>
      </w:pPr>
      <w:r w:rsidRPr="00F408EF">
        <w:rPr>
          <w:rFonts w:ascii="Arial" w:hAnsi="Arial" w:cs="Arial"/>
          <w:b/>
          <w:sz w:val="24"/>
          <w:szCs w:val="24"/>
          <w:u w:val="single"/>
        </w:rPr>
        <w:t>3. K § 20ba a 20bb</w:t>
      </w:r>
    </w:p>
    <w:p w14:paraId="453C4547" w14:textId="77777777" w:rsidR="00854EDB" w:rsidRDefault="00854EDB" w:rsidP="00F408EF">
      <w:pPr>
        <w:jc w:val="both"/>
        <w:rPr>
          <w:rFonts w:ascii="Arial" w:hAnsi="Arial" w:cs="Arial"/>
          <w:b/>
          <w:sz w:val="24"/>
          <w:szCs w:val="24"/>
          <w:u w:val="single"/>
        </w:rPr>
      </w:pPr>
    </w:p>
    <w:p w14:paraId="343A8EA2" w14:textId="210C30C7" w:rsidR="00854EDB" w:rsidRDefault="00854EDB" w:rsidP="00500CD3">
      <w:pPr>
        <w:jc w:val="both"/>
        <w:rPr>
          <w:rFonts w:ascii="Arial" w:hAnsi="Arial" w:cs="Arial"/>
          <w:sz w:val="24"/>
          <w:szCs w:val="24"/>
        </w:rPr>
      </w:pPr>
      <w:r>
        <w:rPr>
          <w:rFonts w:ascii="Arial" w:hAnsi="Arial" w:cs="Arial"/>
          <w:sz w:val="24"/>
          <w:szCs w:val="24"/>
        </w:rPr>
        <w:t xml:space="preserve">3.1. </w:t>
      </w:r>
      <w:r w:rsidRPr="00F408EF">
        <w:rPr>
          <w:rFonts w:ascii="Arial" w:hAnsi="Arial" w:cs="Arial"/>
          <w:sz w:val="24"/>
          <w:szCs w:val="24"/>
        </w:rPr>
        <w:t>V daných ustanoveních se hovoří o tom, že jde o základy daně před uplatněním položek snižujících základ daně a položek odčitatelných od základu daně. Důvodová zpráva pak uvádí, že jde v zásadě o řádek 2</w:t>
      </w:r>
      <w:r w:rsidR="00C44C59">
        <w:rPr>
          <w:rFonts w:ascii="Arial" w:hAnsi="Arial" w:cs="Arial"/>
          <w:sz w:val="24"/>
          <w:szCs w:val="24"/>
        </w:rPr>
        <w:t>2</w:t>
      </w:r>
      <w:r w:rsidRPr="00F408EF">
        <w:rPr>
          <w:rFonts w:ascii="Arial" w:hAnsi="Arial" w:cs="Arial"/>
          <w:sz w:val="24"/>
          <w:szCs w:val="24"/>
        </w:rPr>
        <w:t>0 daňového přiznání</w:t>
      </w:r>
      <w:r>
        <w:rPr>
          <w:rFonts w:ascii="Arial" w:hAnsi="Arial" w:cs="Arial"/>
          <w:sz w:val="24"/>
          <w:szCs w:val="24"/>
        </w:rPr>
        <w:t>. Nicméně</w:t>
      </w:r>
      <w:r w:rsidR="00C44C59">
        <w:rPr>
          <w:rFonts w:ascii="Arial" w:hAnsi="Arial" w:cs="Arial"/>
          <w:sz w:val="24"/>
          <w:szCs w:val="24"/>
        </w:rPr>
        <w:t xml:space="preserve"> některé ustanovení v § 23 ZDP hovoří o úpravách základu daně. Jde o to, aby bylo </w:t>
      </w:r>
      <w:proofErr w:type="spellStart"/>
      <w:r w:rsidR="00C44C59">
        <w:rPr>
          <w:rFonts w:ascii="Arial" w:hAnsi="Arial" w:cs="Arial"/>
          <w:sz w:val="24"/>
          <w:szCs w:val="24"/>
        </w:rPr>
        <w:t>legisaltivně</w:t>
      </w:r>
      <w:proofErr w:type="spellEnd"/>
      <w:r w:rsidR="00C44C59">
        <w:rPr>
          <w:rFonts w:ascii="Arial" w:hAnsi="Arial" w:cs="Arial"/>
          <w:sz w:val="24"/>
          <w:szCs w:val="24"/>
        </w:rPr>
        <w:t xml:space="preserve"> jednoznačně zřejmé, že se zohledňují skutečně všechny úpravy, které vedou k základu daně zahrnutém do řádku </w:t>
      </w:r>
      <w:proofErr w:type="gramStart"/>
      <w:r w:rsidR="00C44C59">
        <w:rPr>
          <w:rFonts w:ascii="Arial" w:hAnsi="Arial" w:cs="Arial"/>
          <w:sz w:val="24"/>
          <w:szCs w:val="24"/>
        </w:rPr>
        <w:t>č.220</w:t>
      </w:r>
      <w:proofErr w:type="gramEnd"/>
      <w:r w:rsidR="00C44C59">
        <w:rPr>
          <w:rFonts w:ascii="Arial" w:hAnsi="Arial" w:cs="Arial"/>
          <w:sz w:val="24"/>
          <w:szCs w:val="24"/>
        </w:rPr>
        <w:t xml:space="preserve"> </w:t>
      </w:r>
      <w:proofErr w:type="spellStart"/>
      <w:r w:rsidR="00C44C59">
        <w:rPr>
          <w:rFonts w:ascii="Arial" w:hAnsi="Arial" w:cs="Arial"/>
          <w:sz w:val="24"/>
          <w:szCs w:val="24"/>
        </w:rPr>
        <w:t>dańového</w:t>
      </w:r>
      <w:proofErr w:type="spellEnd"/>
      <w:r w:rsidR="00C44C59">
        <w:rPr>
          <w:rFonts w:ascii="Arial" w:hAnsi="Arial" w:cs="Arial"/>
          <w:sz w:val="24"/>
          <w:szCs w:val="24"/>
        </w:rPr>
        <w:t xml:space="preserve"> přiznání. Toho by se dalo </w:t>
      </w:r>
      <w:proofErr w:type="spellStart"/>
      <w:r w:rsidR="00C44C59">
        <w:rPr>
          <w:rFonts w:ascii="Arial" w:hAnsi="Arial" w:cs="Arial"/>
          <w:sz w:val="24"/>
          <w:szCs w:val="24"/>
        </w:rPr>
        <w:t>docílt</w:t>
      </w:r>
      <w:proofErr w:type="spellEnd"/>
      <w:r w:rsidR="00C44C59">
        <w:rPr>
          <w:rFonts w:ascii="Arial" w:hAnsi="Arial" w:cs="Arial"/>
          <w:sz w:val="24"/>
          <w:szCs w:val="24"/>
        </w:rPr>
        <w:t xml:space="preserve"> například tím, že budou uvedeny úpravy, které se </w:t>
      </w:r>
      <w:proofErr w:type="spellStart"/>
      <w:r w:rsidR="00C44C59">
        <w:rPr>
          <w:rFonts w:ascii="Arial" w:hAnsi="Arial" w:cs="Arial"/>
          <w:sz w:val="24"/>
          <w:szCs w:val="24"/>
        </w:rPr>
        <w:t>nazhrnují</w:t>
      </w:r>
      <w:proofErr w:type="spellEnd"/>
      <w:r w:rsidR="00C44C59">
        <w:rPr>
          <w:rFonts w:ascii="Arial" w:hAnsi="Arial" w:cs="Arial"/>
          <w:sz w:val="24"/>
          <w:szCs w:val="24"/>
        </w:rPr>
        <w:t xml:space="preserve"> (například odkazem na § 20 ZDP, § 34 a násl. ZDP)   </w:t>
      </w:r>
    </w:p>
    <w:p w14:paraId="457EAE86" w14:textId="77777777" w:rsidR="00854EDB" w:rsidRPr="00500CD3" w:rsidRDefault="00854EDB" w:rsidP="00500CD3">
      <w:pPr>
        <w:jc w:val="both"/>
        <w:rPr>
          <w:rFonts w:ascii="Arial" w:hAnsi="Arial" w:cs="Arial"/>
          <w:sz w:val="24"/>
          <w:szCs w:val="24"/>
          <w:u w:val="single"/>
        </w:rPr>
      </w:pPr>
      <w:r>
        <w:rPr>
          <w:rFonts w:ascii="Arial" w:hAnsi="Arial" w:cs="Arial"/>
          <w:sz w:val="24"/>
          <w:szCs w:val="24"/>
          <w:u w:val="single"/>
        </w:rPr>
        <w:lastRenderedPageBreak/>
        <w:t>3.1.1.</w:t>
      </w:r>
      <w:r w:rsidRPr="00500CD3">
        <w:rPr>
          <w:rFonts w:ascii="Arial" w:hAnsi="Arial" w:cs="Arial"/>
          <w:sz w:val="24"/>
          <w:szCs w:val="24"/>
          <w:u w:val="single"/>
        </w:rPr>
        <w:t>Návrh řešení</w:t>
      </w:r>
    </w:p>
    <w:p w14:paraId="27FA2412" w14:textId="6BB80CC5" w:rsidR="00854EDB" w:rsidRPr="00F408EF" w:rsidRDefault="00854EDB" w:rsidP="00500CD3">
      <w:pPr>
        <w:jc w:val="both"/>
        <w:rPr>
          <w:rFonts w:ascii="Arial" w:hAnsi="Arial" w:cs="Arial"/>
          <w:sz w:val="24"/>
          <w:szCs w:val="24"/>
        </w:rPr>
      </w:pPr>
      <w:r w:rsidRPr="00F408EF">
        <w:rPr>
          <w:rFonts w:ascii="Arial" w:hAnsi="Arial" w:cs="Arial"/>
          <w:sz w:val="24"/>
          <w:szCs w:val="24"/>
        </w:rPr>
        <w:t xml:space="preserve">Na základě toho navrhujeme </w:t>
      </w:r>
      <w:r w:rsidR="00C44C59">
        <w:rPr>
          <w:rFonts w:ascii="Arial" w:hAnsi="Arial" w:cs="Arial"/>
          <w:sz w:val="24"/>
          <w:szCs w:val="24"/>
        </w:rPr>
        <w:t xml:space="preserve"> upřesnit</w:t>
      </w:r>
      <w:r w:rsidRPr="00F408EF">
        <w:rPr>
          <w:rFonts w:ascii="Arial" w:hAnsi="Arial" w:cs="Arial"/>
          <w:sz w:val="24"/>
          <w:szCs w:val="24"/>
        </w:rPr>
        <w:t xml:space="preserve"> definici</w:t>
      </w:r>
      <w:r w:rsidR="00C44C59">
        <w:rPr>
          <w:rFonts w:ascii="Arial" w:hAnsi="Arial" w:cs="Arial"/>
          <w:sz w:val="24"/>
          <w:szCs w:val="24"/>
        </w:rPr>
        <w:t>, tak, aby bylo legislativně jednoznačné</w:t>
      </w:r>
      <w:r w:rsidRPr="00F408EF">
        <w:rPr>
          <w:rFonts w:ascii="Arial" w:hAnsi="Arial" w:cs="Arial"/>
          <w:sz w:val="24"/>
          <w:szCs w:val="24"/>
        </w:rPr>
        <w:t>,</w:t>
      </w:r>
      <w:r w:rsidR="00C44C59">
        <w:rPr>
          <w:rFonts w:ascii="Arial" w:hAnsi="Arial" w:cs="Arial"/>
          <w:sz w:val="24"/>
          <w:szCs w:val="24"/>
        </w:rPr>
        <w:t xml:space="preserve"> že se skutečně zahrnují všechny úprav základu daně vedoucí k řádku </w:t>
      </w:r>
      <w:proofErr w:type="gramStart"/>
      <w:r w:rsidR="00C44C59">
        <w:rPr>
          <w:rFonts w:ascii="Arial" w:hAnsi="Arial" w:cs="Arial"/>
          <w:sz w:val="24"/>
          <w:szCs w:val="24"/>
        </w:rPr>
        <w:t>č.</w:t>
      </w:r>
      <w:r w:rsidR="00916696">
        <w:rPr>
          <w:rFonts w:ascii="Arial" w:hAnsi="Arial" w:cs="Arial"/>
          <w:sz w:val="24"/>
          <w:szCs w:val="24"/>
        </w:rPr>
        <w:t>220</w:t>
      </w:r>
      <w:proofErr w:type="gramEnd"/>
      <w:r w:rsidR="00916696">
        <w:rPr>
          <w:rFonts w:ascii="Arial" w:hAnsi="Arial" w:cs="Arial"/>
          <w:sz w:val="24"/>
          <w:szCs w:val="24"/>
        </w:rPr>
        <w:t xml:space="preserve"> daň</w:t>
      </w:r>
      <w:r w:rsidR="00C44C59">
        <w:rPr>
          <w:rFonts w:ascii="Arial" w:hAnsi="Arial" w:cs="Arial"/>
          <w:sz w:val="24"/>
          <w:szCs w:val="24"/>
        </w:rPr>
        <w:t>ového přiznání,</w:t>
      </w:r>
      <w:r w:rsidRPr="00F408EF">
        <w:rPr>
          <w:rFonts w:ascii="Arial" w:hAnsi="Arial" w:cs="Arial"/>
          <w:sz w:val="24"/>
          <w:szCs w:val="24"/>
        </w:rPr>
        <w:t xml:space="preserve"> případně se s touto otázkou jednoznačně vypořádat v důvodové zprávě. </w:t>
      </w:r>
    </w:p>
    <w:p w14:paraId="424694C4" w14:textId="77777777" w:rsidR="00854EDB" w:rsidRDefault="00854EDB" w:rsidP="00F408EF">
      <w:pPr>
        <w:jc w:val="both"/>
        <w:rPr>
          <w:rFonts w:ascii="Arial" w:hAnsi="Arial" w:cs="Arial"/>
          <w:sz w:val="24"/>
          <w:szCs w:val="24"/>
        </w:rPr>
      </w:pPr>
      <w:r>
        <w:rPr>
          <w:rFonts w:ascii="Arial" w:hAnsi="Arial" w:cs="Arial"/>
          <w:sz w:val="24"/>
          <w:szCs w:val="24"/>
        </w:rPr>
        <w:t xml:space="preserve">3.2. </w:t>
      </w:r>
      <w:r w:rsidRPr="00F408EF">
        <w:rPr>
          <w:rFonts w:ascii="Arial" w:hAnsi="Arial" w:cs="Arial"/>
          <w:sz w:val="24"/>
          <w:szCs w:val="24"/>
        </w:rPr>
        <w:t>Z důvodové zprávy vyplývá, že smyslem navýšení srovnávacích základů daně o 20% dle § 20bc odst. 5 je zohlednění nárůstu základu daně o 20%.</w:t>
      </w:r>
      <w:r>
        <w:rPr>
          <w:rFonts w:ascii="Arial" w:hAnsi="Arial" w:cs="Arial"/>
          <w:sz w:val="24"/>
          <w:szCs w:val="24"/>
        </w:rPr>
        <w:t xml:space="preserve"> </w:t>
      </w:r>
    </w:p>
    <w:p w14:paraId="28C5EEF5" w14:textId="77777777" w:rsidR="00854EDB" w:rsidRDefault="00854EDB" w:rsidP="00F408EF">
      <w:pPr>
        <w:jc w:val="both"/>
        <w:rPr>
          <w:rFonts w:ascii="Arial" w:hAnsi="Arial" w:cs="Arial"/>
          <w:sz w:val="24"/>
          <w:szCs w:val="24"/>
        </w:rPr>
      </w:pPr>
      <w:r>
        <w:rPr>
          <w:rFonts w:ascii="Arial" w:hAnsi="Arial" w:cs="Arial"/>
          <w:sz w:val="24"/>
          <w:szCs w:val="24"/>
        </w:rPr>
        <w:t xml:space="preserve">Absolutní stejné zvýšení srovnávacích základů daně za jednotlivá období však nereflektuje časový vývoj ani inflační vliv v době mezi vznikem jednotlivých srovnávacích základů daně (od roku 2018) a jejich využitím jako srovnávacího kritéria (vůči základu daně v roce 2023).  I jen v případě společností, kde by základ daně byl ročně navyšován jen o meziroční inflaci vyjádřenou meziročním přírůstkem indexu spotřebitelských cen nedosáhne návrhem stanovený průměr upravených srovnávacích základů daně výše základu daně základu daně v roce 2023 (předpokládaný ve výši základu daně za rok 2018 navýšeného o inflaci). </w:t>
      </w:r>
    </w:p>
    <w:p w14:paraId="4C6CF8FB" w14:textId="77777777" w:rsidR="00854EDB" w:rsidRPr="00F408EF" w:rsidRDefault="00854EDB" w:rsidP="00F408EF">
      <w:pPr>
        <w:jc w:val="both"/>
        <w:rPr>
          <w:rFonts w:ascii="Arial" w:hAnsi="Arial" w:cs="Arial"/>
          <w:sz w:val="24"/>
          <w:szCs w:val="24"/>
        </w:rPr>
      </w:pPr>
      <w:r>
        <w:rPr>
          <w:rFonts w:ascii="Arial" w:hAnsi="Arial" w:cs="Arial"/>
          <w:sz w:val="24"/>
          <w:szCs w:val="24"/>
        </w:rPr>
        <w:t xml:space="preserve">Tím je popřen účel návrhu mimořádně zdanit jen nadměrné zisky a nová sazba daně s celkové výši (79%) tak dopadů i na běžné zisky poplatníků (aniž je nejen zohledněn přirozený růst ale ani inflační vlivy). </w:t>
      </w:r>
    </w:p>
    <w:p w14:paraId="0B989612" w14:textId="77777777" w:rsidR="00854EDB" w:rsidRPr="00F408EF" w:rsidRDefault="00854EDB" w:rsidP="00F408EF">
      <w:pPr>
        <w:jc w:val="both"/>
        <w:rPr>
          <w:rFonts w:ascii="Arial" w:hAnsi="Arial" w:cs="Arial"/>
          <w:sz w:val="24"/>
          <w:szCs w:val="24"/>
          <w:u w:val="single"/>
        </w:rPr>
      </w:pPr>
      <w:proofErr w:type="gramStart"/>
      <w:r>
        <w:rPr>
          <w:rFonts w:ascii="Arial" w:hAnsi="Arial" w:cs="Arial"/>
          <w:sz w:val="24"/>
          <w:szCs w:val="24"/>
          <w:u w:val="single"/>
        </w:rPr>
        <w:t>3.1.2.</w:t>
      </w:r>
      <w:r w:rsidRPr="00F408EF">
        <w:rPr>
          <w:rFonts w:ascii="Arial" w:hAnsi="Arial" w:cs="Arial"/>
          <w:sz w:val="24"/>
          <w:szCs w:val="24"/>
          <w:u w:val="single"/>
        </w:rPr>
        <w:t>Návrh</w:t>
      </w:r>
      <w:proofErr w:type="gramEnd"/>
      <w:r w:rsidRPr="00F408EF">
        <w:rPr>
          <w:rFonts w:ascii="Arial" w:hAnsi="Arial" w:cs="Arial"/>
          <w:sz w:val="24"/>
          <w:szCs w:val="24"/>
          <w:u w:val="single"/>
        </w:rPr>
        <w:t xml:space="preserve"> řešení:</w:t>
      </w:r>
    </w:p>
    <w:p w14:paraId="77C1DEB1" w14:textId="77777777" w:rsidR="00854EDB" w:rsidRDefault="00854EDB" w:rsidP="00F408EF">
      <w:pPr>
        <w:jc w:val="both"/>
        <w:rPr>
          <w:rFonts w:ascii="Arial" w:hAnsi="Arial" w:cs="Arial"/>
          <w:sz w:val="24"/>
          <w:szCs w:val="24"/>
        </w:rPr>
      </w:pPr>
      <w:r w:rsidRPr="00F408EF">
        <w:rPr>
          <w:rFonts w:ascii="Arial" w:hAnsi="Arial" w:cs="Arial"/>
          <w:sz w:val="24"/>
          <w:szCs w:val="24"/>
        </w:rPr>
        <w:t>Pokud má nárůst o 20% skutečně reprezentovat přirozen</w:t>
      </w:r>
      <w:r>
        <w:rPr>
          <w:rFonts w:ascii="Arial" w:hAnsi="Arial" w:cs="Arial"/>
          <w:sz w:val="24"/>
          <w:szCs w:val="24"/>
        </w:rPr>
        <w:t>ý nárůst zisku, upravit výpočet upraveného srovnávacího základu daně za jednotlivá období o inflační navýšení a přirozený nárůst zisku od okamžiku vzniku takového základu daně do doby jeho použití ve srovnávací základně (tedy samostatně a různě pro jednotlivá zdaňovací období vstupující do srovnávací základny) .</w:t>
      </w:r>
    </w:p>
    <w:p w14:paraId="6389284E" w14:textId="77777777" w:rsidR="00854EDB" w:rsidRPr="00500CD3" w:rsidRDefault="00854EDB" w:rsidP="00500CD3">
      <w:pPr>
        <w:jc w:val="both"/>
        <w:rPr>
          <w:rFonts w:ascii="Arial" w:hAnsi="Arial" w:cs="Arial"/>
          <w:sz w:val="24"/>
          <w:szCs w:val="24"/>
        </w:rPr>
      </w:pPr>
      <w:r>
        <w:rPr>
          <w:rFonts w:ascii="Arial" w:hAnsi="Arial" w:cs="Arial"/>
          <w:sz w:val="24"/>
          <w:szCs w:val="24"/>
        </w:rPr>
        <w:t>3.3</w:t>
      </w:r>
      <w:r w:rsidRPr="00500CD3">
        <w:rPr>
          <w:rFonts w:ascii="Arial" w:hAnsi="Arial" w:cs="Arial"/>
          <w:sz w:val="24"/>
          <w:szCs w:val="24"/>
        </w:rPr>
        <w:t>. V textu právní normy chybí řešení otázky postupu v případech, kdy bude docházet k úpravám srovnávacího základu daně</w:t>
      </w:r>
      <w:r>
        <w:rPr>
          <w:rFonts w:ascii="Arial" w:hAnsi="Arial" w:cs="Arial"/>
          <w:sz w:val="24"/>
          <w:szCs w:val="24"/>
        </w:rPr>
        <w:t xml:space="preserve"> (například vlivem podání dodatečných přiznání za jednotlivá období vstupujících do srovnávací základny nebo z titulu doměrků ze strany správce daně)</w:t>
      </w:r>
      <w:r w:rsidRPr="00500CD3">
        <w:rPr>
          <w:rFonts w:ascii="Arial" w:hAnsi="Arial" w:cs="Arial"/>
          <w:sz w:val="24"/>
          <w:szCs w:val="24"/>
        </w:rPr>
        <w:t xml:space="preserve"> ať již nahoru nebo dolů z hlediska vlivů těchto změn na nově zaváděnou daň.</w:t>
      </w:r>
    </w:p>
    <w:p w14:paraId="1FDC29DB" w14:textId="77777777" w:rsidR="00854EDB" w:rsidRPr="00500CD3" w:rsidRDefault="00854EDB" w:rsidP="00500CD3">
      <w:pPr>
        <w:jc w:val="both"/>
        <w:rPr>
          <w:rFonts w:ascii="Arial" w:hAnsi="Arial" w:cs="Arial"/>
          <w:sz w:val="24"/>
          <w:szCs w:val="24"/>
          <w:u w:val="single"/>
        </w:rPr>
      </w:pPr>
      <w:r>
        <w:rPr>
          <w:rFonts w:ascii="Arial" w:hAnsi="Arial" w:cs="Arial"/>
          <w:sz w:val="24"/>
          <w:szCs w:val="24"/>
          <w:u w:val="single"/>
        </w:rPr>
        <w:t xml:space="preserve">3.1.3. </w:t>
      </w:r>
      <w:r w:rsidRPr="00500CD3">
        <w:rPr>
          <w:rFonts w:ascii="Arial" w:hAnsi="Arial" w:cs="Arial"/>
          <w:sz w:val="24"/>
          <w:szCs w:val="24"/>
          <w:u w:val="single"/>
        </w:rPr>
        <w:t>Návrh řešení:</w:t>
      </w:r>
    </w:p>
    <w:p w14:paraId="049F2D48" w14:textId="77777777" w:rsidR="00DC0C8C" w:rsidRDefault="00854EDB" w:rsidP="00500CD3">
      <w:pPr>
        <w:jc w:val="both"/>
        <w:rPr>
          <w:rFonts w:ascii="Arial" w:hAnsi="Arial" w:cs="Arial"/>
          <w:sz w:val="24"/>
          <w:szCs w:val="24"/>
        </w:rPr>
      </w:pPr>
      <w:r w:rsidRPr="00F408EF">
        <w:rPr>
          <w:rFonts w:ascii="Arial" w:hAnsi="Arial" w:cs="Arial"/>
          <w:sz w:val="24"/>
          <w:szCs w:val="24"/>
        </w:rPr>
        <w:t>Výslovně řešit, jaké dopady na nově stanovenou daň budou mít změny srovnávacího základu daně ať již nahoru či dolů</w:t>
      </w:r>
      <w:r>
        <w:rPr>
          <w:rFonts w:ascii="Arial" w:hAnsi="Arial" w:cs="Arial"/>
          <w:sz w:val="24"/>
          <w:szCs w:val="24"/>
        </w:rPr>
        <w:t>.</w:t>
      </w:r>
    </w:p>
    <w:p w14:paraId="0B2779A2" w14:textId="0ECED08A" w:rsidR="00DC0C8C" w:rsidRDefault="00DC0C8C" w:rsidP="00DC0C8C">
      <w:pPr>
        <w:jc w:val="both"/>
        <w:rPr>
          <w:rFonts w:ascii="Arial" w:hAnsi="Arial" w:cs="Arial"/>
          <w:sz w:val="24"/>
          <w:szCs w:val="24"/>
        </w:rPr>
      </w:pPr>
      <w:r>
        <w:rPr>
          <w:rFonts w:ascii="Arial" w:hAnsi="Arial" w:cs="Arial"/>
          <w:sz w:val="24"/>
          <w:szCs w:val="24"/>
        </w:rPr>
        <w:t>Jádrem problému je to, že absolutní růst 20%, který návrh předkládá a který je na trhu obvyklý, nezajistí to, aby se daň odváděla skutečně pouze z neočekávaných zisků a nikoliv z běžného růstu firmy. Uvádíme následující příklad firmy, která roste každý rok o 20%:</w:t>
      </w:r>
    </w:p>
    <w:p w14:paraId="0471FC85" w14:textId="77777777" w:rsidR="00DC0C8C" w:rsidRDefault="00DC0C8C" w:rsidP="00DC0C8C">
      <w:pPr>
        <w:jc w:val="both"/>
        <w:rPr>
          <w:rFonts w:ascii="Arial" w:hAnsi="Arial" w:cs="Arial"/>
          <w:sz w:val="24"/>
          <w:szCs w:val="24"/>
        </w:rPr>
      </w:pPr>
    </w:p>
    <w:p w14:paraId="23F1246E" w14:textId="77777777" w:rsidR="00DC0C8C" w:rsidRDefault="00DC0C8C" w:rsidP="00DC0C8C">
      <w:pPr>
        <w:jc w:val="both"/>
        <w:rPr>
          <w:rFonts w:ascii="Arial" w:hAnsi="Arial" w:cs="Arial"/>
          <w:sz w:val="24"/>
          <w:szCs w:val="24"/>
        </w:rPr>
      </w:pPr>
      <w:r>
        <w:rPr>
          <w:rFonts w:ascii="Arial" w:hAnsi="Arial" w:cs="Arial"/>
          <w:sz w:val="24"/>
          <w:szCs w:val="24"/>
        </w:rPr>
        <w:t>2018 – zisk 100 + 20% = 120</w:t>
      </w:r>
    </w:p>
    <w:p w14:paraId="750F4695" w14:textId="77777777" w:rsidR="00DC0C8C" w:rsidRDefault="00DC0C8C" w:rsidP="00DC0C8C">
      <w:pPr>
        <w:jc w:val="both"/>
        <w:rPr>
          <w:rFonts w:ascii="Arial" w:hAnsi="Arial" w:cs="Arial"/>
          <w:sz w:val="24"/>
          <w:szCs w:val="24"/>
        </w:rPr>
      </w:pPr>
      <w:r>
        <w:rPr>
          <w:rFonts w:ascii="Arial" w:hAnsi="Arial" w:cs="Arial"/>
          <w:sz w:val="24"/>
          <w:szCs w:val="24"/>
        </w:rPr>
        <w:t>2019 – zisk 120 + 20% = 144</w:t>
      </w:r>
    </w:p>
    <w:p w14:paraId="6613ABED" w14:textId="77777777" w:rsidR="00DC0C8C" w:rsidRDefault="00DC0C8C" w:rsidP="00DC0C8C">
      <w:pPr>
        <w:jc w:val="both"/>
        <w:rPr>
          <w:rFonts w:ascii="Arial" w:hAnsi="Arial" w:cs="Arial"/>
          <w:sz w:val="24"/>
          <w:szCs w:val="24"/>
        </w:rPr>
      </w:pPr>
      <w:r>
        <w:rPr>
          <w:rFonts w:ascii="Arial" w:hAnsi="Arial" w:cs="Arial"/>
          <w:sz w:val="24"/>
          <w:szCs w:val="24"/>
        </w:rPr>
        <w:t>2020 – zisk 144 + 20% = 172</w:t>
      </w:r>
    </w:p>
    <w:p w14:paraId="1BB78F39" w14:textId="77777777" w:rsidR="00DC0C8C" w:rsidRDefault="00DC0C8C" w:rsidP="00DC0C8C">
      <w:pPr>
        <w:jc w:val="both"/>
        <w:rPr>
          <w:rFonts w:ascii="Arial" w:hAnsi="Arial" w:cs="Arial"/>
          <w:sz w:val="24"/>
          <w:szCs w:val="24"/>
        </w:rPr>
      </w:pPr>
      <w:r>
        <w:rPr>
          <w:rFonts w:ascii="Arial" w:hAnsi="Arial" w:cs="Arial"/>
          <w:sz w:val="24"/>
          <w:szCs w:val="24"/>
        </w:rPr>
        <w:lastRenderedPageBreak/>
        <w:t>2021 – zisk 172 + 20% = 207</w:t>
      </w:r>
    </w:p>
    <w:p w14:paraId="6BFE354D" w14:textId="77777777" w:rsidR="00DC0C8C" w:rsidRDefault="00DC0C8C" w:rsidP="00DC0C8C">
      <w:pPr>
        <w:jc w:val="both"/>
        <w:rPr>
          <w:rFonts w:ascii="Arial" w:hAnsi="Arial" w:cs="Arial"/>
          <w:sz w:val="24"/>
          <w:szCs w:val="24"/>
        </w:rPr>
      </w:pPr>
      <w:r>
        <w:rPr>
          <w:rFonts w:ascii="Arial" w:hAnsi="Arial" w:cs="Arial"/>
          <w:sz w:val="24"/>
          <w:szCs w:val="24"/>
        </w:rPr>
        <w:t xml:space="preserve">Průměr takto upravených srovnávacích základů potom bude 161  </w:t>
      </w:r>
      <w:r>
        <w:rPr>
          <w:rFonts w:ascii="Arial" w:hAnsi="Arial" w:cs="Arial"/>
          <w:sz w:val="24"/>
          <w:szCs w:val="24"/>
          <w:lang w:val="en-US"/>
        </w:rPr>
        <w:t>[</w:t>
      </w:r>
      <w:r>
        <w:rPr>
          <w:rFonts w:ascii="Arial" w:hAnsi="Arial" w:cs="Arial"/>
          <w:sz w:val="24"/>
          <w:szCs w:val="24"/>
        </w:rPr>
        <w:t>(120+144+172+207)/4].</w:t>
      </w:r>
    </w:p>
    <w:p w14:paraId="124FC2A3" w14:textId="77777777" w:rsidR="00DC0C8C" w:rsidRDefault="00DC0C8C" w:rsidP="00DC0C8C">
      <w:pPr>
        <w:jc w:val="both"/>
        <w:rPr>
          <w:rFonts w:ascii="Arial" w:hAnsi="Arial" w:cs="Arial"/>
          <w:sz w:val="24"/>
          <w:szCs w:val="24"/>
        </w:rPr>
      </w:pPr>
      <w:r>
        <w:rPr>
          <w:rFonts w:ascii="Arial" w:hAnsi="Arial" w:cs="Arial"/>
          <w:sz w:val="24"/>
          <w:szCs w:val="24"/>
        </w:rPr>
        <w:t>Pokud tedy budeme počítat, že firma dále roste o 20%, potom v roce 2022 bude mít zisk 207 a v roce 2023 bude mít zisk 248.</w:t>
      </w:r>
    </w:p>
    <w:p w14:paraId="18EA9DD7" w14:textId="77777777" w:rsidR="00DC0C8C" w:rsidRDefault="00DC0C8C" w:rsidP="00DC0C8C">
      <w:pPr>
        <w:jc w:val="both"/>
        <w:rPr>
          <w:rFonts w:ascii="Arial" w:hAnsi="Arial" w:cs="Arial"/>
          <w:sz w:val="24"/>
          <w:szCs w:val="24"/>
        </w:rPr>
      </w:pPr>
      <w:r>
        <w:rPr>
          <w:rFonts w:ascii="Arial" w:hAnsi="Arial" w:cs="Arial"/>
          <w:sz w:val="24"/>
          <w:szCs w:val="24"/>
        </w:rPr>
        <w:t>Zjednodušeně se tedy základ daně pro daň z neočekávaných zisků v roce 2023 spočítá jako = 248 – 161 = 87</w:t>
      </w:r>
    </w:p>
    <w:p w14:paraId="7BB6048A" w14:textId="2883E3F8" w:rsidR="00DC0C8C" w:rsidRPr="00F408EF" w:rsidRDefault="00DC0C8C" w:rsidP="00DC0C8C">
      <w:pPr>
        <w:jc w:val="both"/>
        <w:rPr>
          <w:rFonts w:ascii="Arial" w:hAnsi="Arial" w:cs="Arial"/>
          <w:sz w:val="24"/>
          <w:szCs w:val="24"/>
        </w:rPr>
      </w:pPr>
      <w:r>
        <w:rPr>
          <w:rFonts w:ascii="Arial" w:hAnsi="Arial" w:cs="Arial"/>
          <w:sz w:val="24"/>
          <w:szCs w:val="24"/>
        </w:rPr>
        <w:t>Z tohoto výpočtu je tedy zřejmé, že daň z neočekávaných zisků postihne nejenom případné neočekávané zisky, ale i běžný růst firmy. Což dle důvodové zprávy není cílem této daně</w:t>
      </w:r>
      <w:r w:rsidR="00932829">
        <w:rPr>
          <w:rFonts w:ascii="Arial" w:hAnsi="Arial" w:cs="Arial"/>
          <w:sz w:val="24"/>
          <w:szCs w:val="24"/>
        </w:rPr>
        <w:t>. To může mít o to větší neodůvodněné negativní dopady v případech, když růst zisku bude způsoben jiným než rozhodnými činnostmi.</w:t>
      </w:r>
    </w:p>
    <w:p w14:paraId="5C3E7127" w14:textId="6B895CF1" w:rsidR="00854EDB" w:rsidRDefault="00854EDB" w:rsidP="00500CD3">
      <w:pPr>
        <w:jc w:val="both"/>
        <w:rPr>
          <w:rFonts w:ascii="Arial" w:hAnsi="Arial" w:cs="Arial"/>
          <w:sz w:val="24"/>
          <w:szCs w:val="24"/>
        </w:rPr>
      </w:pPr>
    </w:p>
    <w:p w14:paraId="67F35BDA" w14:textId="77777777" w:rsidR="00FD41C8" w:rsidRDefault="00FD41C8" w:rsidP="00FD41C8">
      <w:pPr>
        <w:jc w:val="both"/>
        <w:rPr>
          <w:rFonts w:ascii="Arial" w:hAnsi="Arial" w:cs="Arial"/>
          <w:b/>
          <w:sz w:val="24"/>
          <w:szCs w:val="24"/>
          <w:u w:val="single"/>
        </w:rPr>
      </w:pPr>
      <w:r>
        <w:rPr>
          <w:rFonts w:ascii="Arial" w:hAnsi="Arial" w:cs="Arial"/>
          <w:b/>
          <w:sz w:val="24"/>
          <w:szCs w:val="24"/>
          <w:u w:val="single"/>
        </w:rPr>
        <w:t>4. K § 20bc – daňová neutralita fúzí</w:t>
      </w:r>
    </w:p>
    <w:p w14:paraId="7E17B2E7" w14:textId="77777777" w:rsidR="00FD41C8" w:rsidRDefault="00FD41C8" w:rsidP="00FD41C8">
      <w:pPr>
        <w:jc w:val="both"/>
        <w:rPr>
          <w:rFonts w:ascii="Arial" w:hAnsi="Arial" w:cs="Arial"/>
          <w:sz w:val="24"/>
          <w:szCs w:val="24"/>
        </w:rPr>
      </w:pPr>
      <w:r>
        <w:rPr>
          <w:rFonts w:ascii="Arial" w:hAnsi="Arial" w:cs="Arial"/>
          <w:sz w:val="24"/>
          <w:szCs w:val="24"/>
        </w:rPr>
        <w:t xml:space="preserve">Současné znění návrhu zásadním způsobem znevýhodňuje budoucí fúze poplatníků daně z neočekávaných zisků a subjektů, kteří těmito poplatníky nejsou a nevykazují žádné rozhodné příjmy – např. bank a nebankovních subjektů. Současný návrh tak může významným způsobem zbrzdit až zamrazit jakékoli transakce v sektorech, na které daň z mimořádných zisků dopadá, a to včetně již rozpracovaných fúzí. </w:t>
      </w:r>
    </w:p>
    <w:p w14:paraId="6E3739A8" w14:textId="77777777" w:rsidR="00FD41C8" w:rsidRDefault="00FD41C8" w:rsidP="00FD41C8">
      <w:pPr>
        <w:jc w:val="both"/>
        <w:rPr>
          <w:rFonts w:ascii="Arial" w:hAnsi="Arial" w:cs="Arial"/>
          <w:sz w:val="24"/>
          <w:szCs w:val="24"/>
        </w:rPr>
      </w:pPr>
      <w:r>
        <w:rPr>
          <w:rFonts w:ascii="Arial" w:hAnsi="Arial" w:cs="Arial"/>
          <w:sz w:val="24"/>
          <w:szCs w:val="24"/>
        </w:rPr>
        <w:t xml:space="preserve">Současné znění návrhu vylučuje přenos srovnávacího základu daně, pokud se přeměna stala účinnou po 1. červenci 2022 a právní předchůdce neměl za první účetní období skončené od 1. ledna 2021 rozhodné příjmy pro daň z neočekávaných zisků ve výši alespoň 5 000 000 Kč. V případě takové fúze poplatníka daně z neočekávaných zisků a subjektu, který negeneruje rozhodné příjmy (např. výše zmíněný případ banky a nebankovního subjektu) bude i zcela běžný zisk z přejatých činností a jmění podléhat dani z neočekávaných zisků. Domníváme, že tímto dojde k zásadnímu porušení principu daňové neutrality fúzí. To ostatně potvrzuje i důvodová zpráva, ze které plyne, že přenos srovnávacího základu daně je možný pouze, pokud dochází k přechodu jmění od poplatníka, který v minulosti působil v odvětví, ze kterého plynou rozhodné příjmy, a měl tyto příjmy v určité relevantní výši. </w:t>
      </w:r>
    </w:p>
    <w:p w14:paraId="57ABD80B" w14:textId="77777777" w:rsidR="00FD41C8" w:rsidRDefault="00FD41C8" w:rsidP="00FD41C8">
      <w:pPr>
        <w:jc w:val="both"/>
        <w:rPr>
          <w:rFonts w:ascii="Arial" w:hAnsi="Arial" w:cs="Arial"/>
          <w:sz w:val="24"/>
          <w:szCs w:val="24"/>
        </w:rPr>
      </w:pPr>
      <w:r>
        <w:rPr>
          <w:rFonts w:ascii="Arial" w:hAnsi="Arial" w:cs="Arial"/>
          <w:sz w:val="24"/>
          <w:szCs w:val="24"/>
        </w:rPr>
        <w:t>Důvodová zpráva toto pravidlo odůvodňuje snahou zabránit „účelovým přeměnám“, nicméně nedává žádný prostor a možnost daňovým subjektům v případě řádných ekonomicky odůvodněných fúzí zachovat jejich daňovou neutralitu. Domníváme se, že uvedené pravidlo porušuje princip proporcionality, jak jej vykládá Soudní dvůr Evropské Unie</w:t>
      </w:r>
      <w:r>
        <w:rPr>
          <w:rStyle w:val="Znakapoznpodarou"/>
          <w:rFonts w:ascii="Arial" w:hAnsi="Arial" w:cs="Arial"/>
          <w:sz w:val="24"/>
          <w:szCs w:val="24"/>
        </w:rPr>
        <w:footnoteReference w:id="1"/>
      </w:r>
      <w:r>
        <w:rPr>
          <w:rFonts w:ascii="Arial" w:hAnsi="Arial" w:cs="Arial"/>
          <w:sz w:val="24"/>
          <w:szCs w:val="24"/>
        </w:rPr>
        <w:t xml:space="preserve">. Případné „účelové přeměny“ lze dle našeho názoru řešit obecnými mechanismy zákazu zneužití práva. </w:t>
      </w:r>
    </w:p>
    <w:p w14:paraId="768BFB21" w14:textId="77777777" w:rsidR="00FD41C8" w:rsidRDefault="00FD41C8" w:rsidP="00FD41C8">
      <w:pPr>
        <w:jc w:val="both"/>
        <w:rPr>
          <w:rFonts w:ascii="Arial" w:hAnsi="Arial" w:cs="Arial"/>
          <w:sz w:val="24"/>
          <w:szCs w:val="24"/>
        </w:rPr>
      </w:pPr>
      <w:r>
        <w:rPr>
          <w:rFonts w:ascii="Arial" w:hAnsi="Arial" w:cs="Arial"/>
          <w:sz w:val="24"/>
          <w:szCs w:val="24"/>
        </w:rPr>
        <w:lastRenderedPageBreak/>
        <w:t xml:space="preserve">Uvedený návrh dále vykazuje znaky retroaktivity, kdy odlišný režim fúzí zakládá již k 1. červenci 2022.  </w:t>
      </w:r>
    </w:p>
    <w:p w14:paraId="732E18B9" w14:textId="77777777" w:rsidR="00FD41C8" w:rsidRDefault="00FD41C8" w:rsidP="00FD41C8">
      <w:pPr>
        <w:jc w:val="both"/>
        <w:rPr>
          <w:rFonts w:ascii="Arial" w:hAnsi="Arial" w:cs="Arial"/>
          <w:sz w:val="24"/>
          <w:szCs w:val="24"/>
          <w:u w:val="single"/>
        </w:rPr>
      </w:pPr>
      <w:r>
        <w:rPr>
          <w:rFonts w:ascii="Arial" w:hAnsi="Arial" w:cs="Arial"/>
          <w:sz w:val="24"/>
          <w:szCs w:val="24"/>
          <w:u w:val="single"/>
        </w:rPr>
        <w:t>Návrh řešení:</w:t>
      </w:r>
    </w:p>
    <w:p w14:paraId="4A77553C" w14:textId="77777777" w:rsidR="00FD41C8" w:rsidRDefault="00FD41C8" w:rsidP="00FD41C8">
      <w:pPr>
        <w:jc w:val="both"/>
        <w:rPr>
          <w:rFonts w:ascii="Arial" w:hAnsi="Arial" w:cs="Arial"/>
          <w:sz w:val="24"/>
          <w:szCs w:val="24"/>
        </w:rPr>
      </w:pPr>
      <w:r>
        <w:rPr>
          <w:rFonts w:ascii="Arial" w:hAnsi="Arial" w:cs="Arial"/>
          <w:sz w:val="24"/>
          <w:szCs w:val="24"/>
        </w:rPr>
        <w:t>Navrhujeme umožnit přenos srovnávacího základu daně i v případě fúze daňových subjektů, které nemají rozhodné příjmy tak, aby byla zachována daňová neutralita fúzí, a případné případy účelových přeměn řešit prostřednictvím nástrojů zákazu zneužití práva.</w:t>
      </w:r>
    </w:p>
    <w:p w14:paraId="5F0DCB84" w14:textId="77777777" w:rsidR="00FD41C8" w:rsidRDefault="00FD41C8" w:rsidP="00FD41C8">
      <w:pPr>
        <w:jc w:val="both"/>
        <w:rPr>
          <w:rFonts w:ascii="Arial" w:hAnsi="Arial" w:cs="Arial"/>
          <w:sz w:val="24"/>
          <w:szCs w:val="24"/>
        </w:rPr>
      </w:pPr>
    </w:p>
    <w:p w14:paraId="3DE42959" w14:textId="77777777" w:rsidR="00FD41C8" w:rsidRPr="00F408EF" w:rsidRDefault="00FD41C8" w:rsidP="00500CD3">
      <w:pPr>
        <w:jc w:val="both"/>
        <w:rPr>
          <w:rFonts w:ascii="Arial" w:hAnsi="Arial" w:cs="Arial"/>
          <w:sz w:val="24"/>
          <w:szCs w:val="24"/>
        </w:rPr>
      </w:pPr>
    </w:p>
    <w:p w14:paraId="6287C0A7" w14:textId="41353CA1" w:rsidR="00854EDB" w:rsidRPr="00F408EF" w:rsidRDefault="00FD41C8" w:rsidP="00F408EF">
      <w:pPr>
        <w:jc w:val="both"/>
        <w:rPr>
          <w:rFonts w:ascii="Arial" w:hAnsi="Arial" w:cs="Arial"/>
          <w:b/>
          <w:sz w:val="24"/>
          <w:szCs w:val="24"/>
          <w:u w:val="single"/>
        </w:rPr>
      </w:pPr>
      <w:r>
        <w:rPr>
          <w:rFonts w:ascii="Arial" w:hAnsi="Arial" w:cs="Arial"/>
          <w:b/>
          <w:sz w:val="24"/>
          <w:szCs w:val="24"/>
          <w:u w:val="single"/>
        </w:rPr>
        <w:t>5</w:t>
      </w:r>
      <w:r w:rsidR="00854EDB" w:rsidRPr="00F408EF">
        <w:rPr>
          <w:rFonts w:ascii="Arial" w:hAnsi="Arial" w:cs="Arial"/>
          <w:b/>
          <w:sz w:val="24"/>
          <w:szCs w:val="24"/>
          <w:u w:val="single"/>
        </w:rPr>
        <w:t>. K § 21 odst. 5 – možný rdousící charakter nové daně</w:t>
      </w:r>
    </w:p>
    <w:p w14:paraId="0CF6BE8F" w14:textId="4B57847C" w:rsidR="00854EDB" w:rsidRDefault="00FD41C8" w:rsidP="00F408EF">
      <w:pPr>
        <w:jc w:val="both"/>
        <w:rPr>
          <w:rFonts w:ascii="Arial" w:hAnsi="Arial" w:cs="Arial"/>
          <w:sz w:val="24"/>
          <w:szCs w:val="24"/>
        </w:rPr>
      </w:pPr>
      <w:r>
        <w:rPr>
          <w:rFonts w:ascii="Arial" w:hAnsi="Arial" w:cs="Arial"/>
          <w:sz w:val="24"/>
          <w:szCs w:val="24"/>
        </w:rPr>
        <w:t>5</w:t>
      </w:r>
      <w:r w:rsidR="00DC0C8C">
        <w:rPr>
          <w:rFonts w:ascii="Arial" w:hAnsi="Arial" w:cs="Arial"/>
          <w:sz w:val="24"/>
          <w:szCs w:val="24"/>
        </w:rPr>
        <w:t xml:space="preserve">.1. </w:t>
      </w:r>
      <w:r w:rsidR="00854EDB" w:rsidRPr="00F408EF">
        <w:rPr>
          <w:rFonts w:ascii="Arial" w:hAnsi="Arial" w:cs="Arial"/>
          <w:sz w:val="24"/>
          <w:szCs w:val="24"/>
        </w:rPr>
        <w:t>V souvislosti s principem výpočtu nové daně je nutné upozornit na to, že v některých případech může mít dle našeho názoru uvedená daň protiústavní rdousící efekt. Příkladem může být situace, kdy srovnávací základy daně za všechny 4 roky budou nulové nebo záporné, např. z důvodu, že v těchto letech se poplatník připravoval na zahájení svého podnikání</w:t>
      </w:r>
      <w:r w:rsidR="00854EDB">
        <w:rPr>
          <w:rFonts w:ascii="Arial" w:hAnsi="Arial" w:cs="Arial"/>
          <w:sz w:val="24"/>
          <w:szCs w:val="24"/>
        </w:rPr>
        <w:t>, realizoval rozsáhlou novou investici,</w:t>
      </w:r>
      <w:r w:rsidR="00854EDB" w:rsidRPr="00F408EF">
        <w:rPr>
          <w:rFonts w:ascii="Arial" w:hAnsi="Arial" w:cs="Arial"/>
          <w:sz w:val="24"/>
          <w:szCs w:val="24"/>
        </w:rPr>
        <w:t xml:space="preserve"> nebo se vypořádával z havárií, ke které u něj došlo, ztratil trhy klíčového dodavatele apod. Obdobně může k těmto nestandardním výkyvům docházet z titulu vkladů či prodejů podniku</w:t>
      </w:r>
      <w:r w:rsidR="00854EDB">
        <w:rPr>
          <w:rFonts w:ascii="Arial" w:hAnsi="Arial" w:cs="Arial"/>
          <w:sz w:val="24"/>
          <w:szCs w:val="24"/>
        </w:rPr>
        <w:t>,</w:t>
      </w:r>
      <w:r w:rsidR="00854EDB" w:rsidRPr="00F408EF">
        <w:rPr>
          <w:rFonts w:ascii="Arial" w:hAnsi="Arial" w:cs="Arial"/>
          <w:sz w:val="24"/>
          <w:szCs w:val="24"/>
        </w:rPr>
        <w:t xml:space="preserve"> záměru ve srovnávacích obdobích realizovat opravy většího rozsahu a tím pádem tvorbě rezerv na opravy</w:t>
      </w:r>
      <w:r w:rsidR="00854EDB">
        <w:rPr>
          <w:rFonts w:ascii="Arial" w:hAnsi="Arial" w:cs="Arial"/>
          <w:sz w:val="24"/>
          <w:szCs w:val="24"/>
        </w:rPr>
        <w:t>,</w:t>
      </w:r>
      <w:r w:rsidR="00854EDB" w:rsidRPr="00F408EF">
        <w:rPr>
          <w:rFonts w:ascii="Arial" w:hAnsi="Arial" w:cs="Arial"/>
          <w:sz w:val="24"/>
          <w:szCs w:val="24"/>
        </w:rPr>
        <w:t xml:space="preserve"> větší tvorbě zákonných opravných položek apod.</w:t>
      </w:r>
      <w:r w:rsidR="00D604ED">
        <w:rPr>
          <w:rFonts w:ascii="Arial" w:hAnsi="Arial" w:cs="Arial"/>
          <w:sz w:val="24"/>
          <w:szCs w:val="24"/>
        </w:rPr>
        <w:t xml:space="preserve"> Může jít také o poplatníka, které je součást skupiny</w:t>
      </w:r>
      <w:r w:rsidR="003A7EC7">
        <w:rPr>
          <w:rFonts w:ascii="Arial" w:hAnsi="Arial" w:cs="Arial"/>
          <w:sz w:val="24"/>
          <w:szCs w:val="24"/>
        </w:rPr>
        <w:t xml:space="preserve"> a</w:t>
      </w:r>
      <w:r w:rsidR="00D604ED">
        <w:rPr>
          <w:rFonts w:ascii="Arial" w:hAnsi="Arial" w:cs="Arial"/>
          <w:sz w:val="24"/>
          <w:szCs w:val="24"/>
        </w:rPr>
        <w:t xml:space="preserve"> z rozhodných činností dosáhl příjmy nad 5 mil Kč, ale jeho hlavní činnost z které dosahuje svých zisků, je činnost, která není rozhodnout činností</w:t>
      </w:r>
      <w:r w:rsidR="003A7EC7">
        <w:rPr>
          <w:rFonts w:ascii="Arial" w:hAnsi="Arial" w:cs="Arial"/>
          <w:sz w:val="24"/>
          <w:szCs w:val="24"/>
        </w:rPr>
        <w:t xml:space="preserve"> (jeho nárůst zisku je tedy docílen jiný než rozhodnými činnostmi)</w:t>
      </w:r>
      <w:r w:rsidR="00D604ED">
        <w:rPr>
          <w:rFonts w:ascii="Arial" w:hAnsi="Arial" w:cs="Arial"/>
          <w:sz w:val="24"/>
          <w:szCs w:val="24"/>
        </w:rPr>
        <w:t>.</w:t>
      </w:r>
      <w:r w:rsidR="00854EDB" w:rsidRPr="00F408EF">
        <w:rPr>
          <w:rFonts w:ascii="Arial" w:hAnsi="Arial" w:cs="Arial"/>
          <w:sz w:val="24"/>
          <w:szCs w:val="24"/>
        </w:rPr>
        <w:t xml:space="preserve"> Pokud tyto situace nastanou, </w:t>
      </w:r>
      <w:r w:rsidR="00854EDB">
        <w:rPr>
          <w:rFonts w:ascii="Arial" w:hAnsi="Arial" w:cs="Arial"/>
          <w:sz w:val="24"/>
          <w:szCs w:val="24"/>
        </w:rPr>
        <w:t>může dojít</w:t>
      </w:r>
      <w:r w:rsidR="00854EDB" w:rsidRPr="00F408EF">
        <w:rPr>
          <w:rFonts w:ascii="Arial" w:hAnsi="Arial" w:cs="Arial"/>
          <w:sz w:val="24"/>
          <w:szCs w:val="24"/>
        </w:rPr>
        <w:t xml:space="preserve"> k tomu, že v roce 2023 či v dalších letech, kdy má být daná daň aplikována, bude sazba na celý základ daně ve skutečnosti 79% (60+19). Domníváme se, že takto vysoká sazba daně může už naplňovat kritéria protiústavního rdousícíh</w:t>
      </w:r>
      <w:r w:rsidR="00854EDB">
        <w:rPr>
          <w:rFonts w:ascii="Arial" w:hAnsi="Arial" w:cs="Arial"/>
          <w:sz w:val="24"/>
          <w:szCs w:val="24"/>
        </w:rPr>
        <w:t>o charakteru této daně.</w:t>
      </w:r>
    </w:p>
    <w:p w14:paraId="70F91909" w14:textId="77777777" w:rsidR="00854EDB" w:rsidRPr="00F408EF" w:rsidRDefault="00854EDB" w:rsidP="00F408EF">
      <w:pPr>
        <w:jc w:val="both"/>
        <w:rPr>
          <w:rFonts w:ascii="Arial" w:hAnsi="Arial" w:cs="Arial"/>
          <w:sz w:val="24"/>
          <w:szCs w:val="24"/>
        </w:rPr>
      </w:pPr>
      <w:r>
        <w:rPr>
          <w:rFonts w:ascii="Arial" w:hAnsi="Arial" w:cs="Arial"/>
          <w:sz w:val="24"/>
          <w:szCs w:val="24"/>
        </w:rPr>
        <w:t>N</w:t>
      </w:r>
      <w:r w:rsidRPr="00F408EF">
        <w:rPr>
          <w:rFonts w:ascii="Arial" w:hAnsi="Arial" w:cs="Arial"/>
          <w:sz w:val="24"/>
          <w:szCs w:val="24"/>
        </w:rPr>
        <w:t>eboť takovéto případy, kterých zřejmě nebude většina nelze</w:t>
      </w:r>
      <w:r>
        <w:rPr>
          <w:rFonts w:ascii="Arial" w:hAnsi="Arial" w:cs="Arial"/>
          <w:sz w:val="24"/>
          <w:szCs w:val="24"/>
        </w:rPr>
        <w:t xml:space="preserve"> v obecné rovině v  zákoně</w:t>
      </w:r>
      <w:r w:rsidRPr="00F408EF">
        <w:rPr>
          <w:rFonts w:ascii="Arial" w:hAnsi="Arial" w:cs="Arial"/>
          <w:sz w:val="24"/>
          <w:szCs w:val="24"/>
        </w:rPr>
        <w:t xml:space="preserve"> řešit tak, aby se </w:t>
      </w:r>
      <w:r>
        <w:rPr>
          <w:rFonts w:ascii="Arial" w:hAnsi="Arial" w:cs="Arial"/>
          <w:sz w:val="24"/>
          <w:szCs w:val="24"/>
        </w:rPr>
        <w:t>postihly všechny možné varianty, d</w:t>
      </w:r>
      <w:r w:rsidRPr="00F408EF">
        <w:rPr>
          <w:rFonts w:ascii="Arial" w:hAnsi="Arial" w:cs="Arial"/>
          <w:sz w:val="24"/>
          <w:szCs w:val="24"/>
        </w:rPr>
        <w:t xml:space="preserve">omníváme se, že jediným možným řešením </w:t>
      </w:r>
      <w:r>
        <w:rPr>
          <w:rFonts w:ascii="Arial" w:hAnsi="Arial" w:cs="Arial"/>
          <w:sz w:val="24"/>
          <w:szCs w:val="24"/>
        </w:rPr>
        <w:t xml:space="preserve">této </w:t>
      </w:r>
      <w:r w:rsidRPr="00F408EF">
        <w:rPr>
          <w:rFonts w:ascii="Arial" w:hAnsi="Arial" w:cs="Arial"/>
          <w:sz w:val="24"/>
          <w:szCs w:val="24"/>
        </w:rPr>
        <w:t>situace by bylo</w:t>
      </w:r>
      <w:r>
        <w:rPr>
          <w:rFonts w:ascii="Arial" w:hAnsi="Arial" w:cs="Arial"/>
          <w:sz w:val="24"/>
          <w:szCs w:val="24"/>
        </w:rPr>
        <w:t xml:space="preserve"> zavedení možnosti</w:t>
      </w:r>
      <w:r w:rsidRPr="00F408EF">
        <w:rPr>
          <w:rFonts w:ascii="Arial" w:hAnsi="Arial" w:cs="Arial"/>
          <w:sz w:val="24"/>
          <w:szCs w:val="24"/>
        </w:rPr>
        <w:t xml:space="preserve"> individuální posouzení ze strany správce daně s možností </w:t>
      </w:r>
      <w:r>
        <w:rPr>
          <w:rFonts w:ascii="Arial" w:hAnsi="Arial" w:cs="Arial"/>
          <w:sz w:val="24"/>
          <w:szCs w:val="24"/>
        </w:rPr>
        <w:t xml:space="preserve">individuálního </w:t>
      </w:r>
      <w:r w:rsidRPr="00F408EF">
        <w:rPr>
          <w:rFonts w:ascii="Arial" w:hAnsi="Arial" w:cs="Arial"/>
          <w:sz w:val="24"/>
          <w:szCs w:val="24"/>
        </w:rPr>
        <w:t>částečného či úplného prominutí nové daně. Podobný problém se objevil v souvislosti se solární daní, kdy soudy potvrzovaly možnost promíjení daně, ale zároveň upozorňovali na problém spočívající v tom, že toto prominutí by muselo být obecné, nikoliv individuální. Proto považujeme za důležité, aby v těchto případech bylo možné daň prominout individuálně.</w:t>
      </w:r>
    </w:p>
    <w:p w14:paraId="1F426B1A" w14:textId="0B2EC364" w:rsidR="00854EDB" w:rsidRPr="00500CD3" w:rsidRDefault="00FD41C8" w:rsidP="00F408EF">
      <w:pPr>
        <w:jc w:val="both"/>
        <w:rPr>
          <w:rFonts w:ascii="Arial" w:hAnsi="Arial" w:cs="Arial"/>
          <w:sz w:val="24"/>
          <w:szCs w:val="24"/>
          <w:u w:val="single"/>
        </w:rPr>
      </w:pPr>
      <w:proofErr w:type="gramStart"/>
      <w:r>
        <w:rPr>
          <w:rFonts w:ascii="Arial" w:hAnsi="Arial" w:cs="Arial"/>
          <w:sz w:val="24"/>
          <w:szCs w:val="24"/>
          <w:u w:val="single"/>
        </w:rPr>
        <w:t>5</w:t>
      </w:r>
      <w:r w:rsidR="00DC0C8C">
        <w:rPr>
          <w:rFonts w:ascii="Arial" w:hAnsi="Arial" w:cs="Arial"/>
          <w:sz w:val="24"/>
          <w:szCs w:val="24"/>
          <w:u w:val="single"/>
        </w:rPr>
        <w:t>.1.1.</w:t>
      </w:r>
      <w:r w:rsidR="00854EDB" w:rsidRPr="00500CD3">
        <w:rPr>
          <w:rFonts w:ascii="Arial" w:hAnsi="Arial" w:cs="Arial"/>
          <w:sz w:val="24"/>
          <w:szCs w:val="24"/>
          <w:u w:val="single"/>
        </w:rPr>
        <w:t>Návrh</w:t>
      </w:r>
      <w:proofErr w:type="gramEnd"/>
      <w:r w:rsidR="00854EDB" w:rsidRPr="00500CD3">
        <w:rPr>
          <w:rFonts w:ascii="Arial" w:hAnsi="Arial" w:cs="Arial"/>
          <w:sz w:val="24"/>
          <w:szCs w:val="24"/>
          <w:u w:val="single"/>
        </w:rPr>
        <w:t xml:space="preserve"> řešení:</w:t>
      </w:r>
    </w:p>
    <w:p w14:paraId="52138F99" w14:textId="77777777" w:rsidR="00854EDB" w:rsidRPr="00F408EF" w:rsidRDefault="00854EDB" w:rsidP="00F408EF">
      <w:pPr>
        <w:jc w:val="both"/>
        <w:rPr>
          <w:rFonts w:ascii="Arial" w:hAnsi="Arial" w:cs="Arial"/>
          <w:sz w:val="24"/>
          <w:szCs w:val="24"/>
        </w:rPr>
      </w:pPr>
      <w:r w:rsidRPr="00F408EF">
        <w:rPr>
          <w:rFonts w:ascii="Arial" w:hAnsi="Arial" w:cs="Arial"/>
          <w:sz w:val="24"/>
          <w:szCs w:val="24"/>
        </w:rPr>
        <w:t>V případech, kdy by aplikace nové daně mohla vést k</w:t>
      </w:r>
      <w:r w:rsidRPr="00F408EF">
        <w:rPr>
          <w:rFonts w:ascii="Arial" w:hAnsi="Arial" w:cs="Arial"/>
          <w:color w:val="FF0000"/>
          <w:sz w:val="24"/>
          <w:szCs w:val="24"/>
        </w:rPr>
        <w:t xml:space="preserve"> </w:t>
      </w:r>
      <w:r w:rsidRPr="00F408EF">
        <w:rPr>
          <w:rFonts w:ascii="Arial" w:hAnsi="Arial" w:cs="Arial"/>
          <w:sz w:val="24"/>
          <w:szCs w:val="24"/>
        </w:rPr>
        <w:t>rdousícímu zdanění, které by bylo v rozporu se smyslem a cílem nové daňové povinnosti, výslovně umožnit správci daně v individuálních případech prominutí části či celé výše této daně, přičemž v zákoně by byla stanovena obecná kritéria a podrobné podmínky by se</w:t>
      </w:r>
      <w:r>
        <w:rPr>
          <w:rFonts w:ascii="Arial" w:hAnsi="Arial" w:cs="Arial"/>
          <w:sz w:val="24"/>
          <w:szCs w:val="24"/>
        </w:rPr>
        <w:t xml:space="preserve"> promítly do výkladového pokynu</w:t>
      </w:r>
      <w:r w:rsidRPr="00F408EF">
        <w:rPr>
          <w:rFonts w:ascii="Arial" w:hAnsi="Arial" w:cs="Arial"/>
          <w:sz w:val="24"/>
          <w:szCs w:val="24"/>
        </w:rPr>
        <w:t>.</w:t>
      </w:r>
    </w:p>
    <w:p w14:paraId="36B6A3E0" w14:textId="02929192" w:rsidR="00DC0C8C" w:rsidRPr="00DC0C8C" w:rsidRDefault="00FD41C8" w:rsidP="00DC0C8C">
      <w:pPr>
        <w:jc w:val="both"/>
        <w:rPr>
          <w:rFonts w:ascii="Arial" w:hAnsi="Arial" w:cs="Arial"/>
          <w:sz w:val="24"/>
          <w:szCs w:val="24"/>
        </w:rPr>
      </w:pPr>
      <w:r>
        <w:rPr>
          <w:rFonts w:ascii="Arial" w:hAnsi="Arial" w:cs="Arial"/>
          <w:sz w:val="24"/>
          <w:szCs w:val="24"/>
        </w:rPr>
        <w:t>5</w:t>
      </w:r>
      <w:r w:rsidR="00DC0C8C" w:rsidRPr="00DC0C8C">
        <w:rPr>
          <w:rFonts w:ascii="Arial" w:hAnsi="Arial" w:cs="Arial"/>
          <w:sz w:val="24"/>
          <w:szCs w:val="24"/>
        </w:rPr>
        <w:t xml:space="preserve">.2. Důvodová zpráva stanoví, že daň z neočekávaných zisků je nová podkategorie daně z příjmů právnických osob. Chápeme, že výpočet daně z neočekávaných zisků </w:t>
      </w:r>
      <w:r w:rsidR="00DC0C8C" w:rsidRPr="00DC0C8C">
        <w:rPr>
          <w:rFonts w:ascii="Arial" w:hAnsi="Arial" w:cs="Arial"/>
          <w:sz w:val="24"/>
          <w:szCs w:val="24"/>
        </w:rPr>
        <w:lastRenderedPageBreak/>
        <w:t xml:space="preserve">je očištěn o příjmy ze zahraničí, tedy v případě této daně by k dvojímu zdanění nemělo docházet. Otázka ale je, zda se daň z neočekávaných zisků bude zahrnovat do výpočtu limitu pro prostý zápočet </w:t>
      </w:r>
      <w:proofErr w:type="gramStart"/>
      <w:r w:rsidR="00DC0C8C" w:rsidRPr="00DC0C8C">
        <w:rPr>
          <w:rFonts w:ascii="Arial" w:hAnsi="Arial" w:cs="Arial"/>
          <w:sz w:val="24"/>
          <w:szCs w:val="24"/>
        </w:rPr>
        <w:t>daně tak</w:t>
      </w:r>
      <w:proofErr w:type="gramEnd"/>
      <w:r w:rsidR="00DC0C8C" w:rsidRPr="00DC0C8C">
        <w:rPr>
          <w:rFonts w:ascii="Arial" w:hAnsi="Arial" w:cs="Arial"/>
          <w:sz w:val="24"/>
          <w:szCs w:val="24"/>
        </w:rPr>
        <w:t xml:space="preserve"> jak jej stanoví § 38f odst. 2 ZDP, tedy „Tato částka se stanoví jako součin daňové povinnosti, která se vztahuje k příjmům plynoucím ze zdrojů na území České republiky i ze zdrojů v zahraničí a podílu příjmů ze zdrojů v zahraničí na základu daně před uplatněním položek odčitatelných od základu daně a nezdanitelných částí základu daně.“</w:t>
      </w:r>
    </w:p>
    <w:p w14:paraId="17B98A8A" w14:textId="2483E2AF" w:rsidR="00DC0C8C" w:rsidRPr="00DC0C8C" w:rsidRDefault="00FD41C8" w:rsidP="00DC0C8C">
      <w:pPr>
        <w:jc w:val="both"/>
        <w:rPr>
          <w:rFonts w:ascii="Arial" w:hAnsi="Arial" w:cs="Arial"/>
          <w:sz w:val="24"/>
          <w:szCs w:val="24"/>
        </w:rPr>
      </w:pPr>
      <w:r>
        <w:rPr>
          <w:rFonts w:ascii="Arial" w:hAnsi="Arial" w:cs="Arial"/>
          <w:sz w:val="24"/>
          <w:szCs w:val="24"/>
        </w:rPr>
        <w:t>5</w:t>
      </w:r>
      <w:r w:rsidR="00DC0C8C" w:rsidRPr="00DC0C8C">
        <w:rPr>
          <w:rFonts w:ascii="Arial" w:hAnsi="Arial" w:cs="Arial"/>
          <w:sz w:val="24"/>
          <w:szCs w:val="24"/>
        </w:rPr>
        <w:t>.2.</w:t>
      </w:r>
      <w:r w:rsidR="00DC0C8C">
        <w:rPr>
          <w:rFonts w:ascii="Arial" w:hAnsi="Arial" w:cs="Arial"/>
          <w:sz w:val="24"/>
          <w:szCs w:val="24"/>
        </w:rPr>
        <w:t>1.</w:t>
      </w:r>
      <w:r w:rsidR="00DC0C8C" w:rsidRPr="00DC0C8C">
        <w:rPr>
          <w:rFonts w:ascii="Arial" w:hAnsi="Arial" w:cs="Arial"/>
          <w:sz w:val="24"/>
          <w:szCs w:val="24"/>
        </w:rPr>
        <w:t xml:space="preserve"> Návrh řešení:</w:t>
      </w:r>
    </w:p>
    <w:p w14:paraId="44049285" w14:textId="77777777" w:rsidR="00DC0C8C" w:rsidRPr="00DC0C8C" w:rsidRDefault="00DC0C8C" w:rsidP="00DC0C8C">
      <w:pPr>
        <w:jc w:val="both"/>
        <w:rPr>
          <w:rFonts w:ascii="Arial" w:hAnsi="Arial" w:cs="Arial"/>
          <w:sz w:val="24"/>
          <w:szCs w:val="24"/>
        </w:rPr>
      </w:pPr>
      <w:r w:rsidRPr="00DC0C8C">
        <w:rPr>
          <w:rFonts w:ascii="Arial" w:hAnsi="Arial" w:cs="Arial"/>
          <w:sz w:val="24"/>
          <w:szCs w:val="24"/>
        </w:rPr>
        <w:t>Navrhujeme explicitně stanovit, že daň z neočekávaných zisků nebude jakožto daň z příjmů právnických osob ovlivňovat výpočet limitu pro prostý zápočet daně, tedy nebude vstupovat do celkové daňové povinnosti ani do základu daně pro tento výpočet.</w:t>
      </w:r>
    </w:p>
    <w:p w14:paraId="788AB840" w14:textId="77777777" w:rsidR="00DC0C8C" w:rsidRDefault="00DC0C8C" w:rsidP="00F408EF">
      <w:pPr>
        <w:jc w:val="both"/>
        <w:rPr>
          <w:rFonts w:ascii="Arial" w:hAnsi="Arial" w:cs="Arial"/>
          <w:b/>
          <w:sz w:val="24"/>
          <w:szCs w:val="24"/>
          <w:u w:val="single"/>
        </w:rPr>
      </w:pPr>
    </w:p>
    <w:p w14:paraId="37F17BB1" w14:textId="77777777" w:rsidR="00DC0C8C" w:rsidRDefault="00DC0C8C" w:rsidP="00F408EF">
      <w:pPr>
        <w:jc w:val="both"/>
        <w:rPr>
          <w:rFonts w:ascii="Arial" w:hAnsi="Arial" w:cs="Arial"/>
          <w:b/>
          <w:sz w:val="24"/>
          <w:szCs w:val="24"/>
          <w:u w:val="single"/>
        </w:rPr>
      </w:pPr>
    </w:p>
    <w:p w14:paraId="5378C18A" w14:textId="3263BF83" w:rsidR="00854EDB" w:rsidRPr="00500CD3" w:rsidRDefault="00FD41C8" w:rsidP="00F408EF">
      <w:pPr>
        <w:jc w:val="both"/>
        <w:rPr>
          <w:rFonts w:ascii="Arial" w:hAnsi="Arial" w:cs="Arial"/>
          <w:b/>
          <w:sz w:val="24"/>
          <w:szCs w:val="24"/>
          <w:u w:val="single"/>
        </w:rPr>
      </w:pPr>
      <w:r>
        <w:rPr>
          <w:rFonts w:ascii="Arial" w:hAnsi="Arial" w:cs="Arial"/>
          <w:b/>
          <w:sz w:val="24"/>
          <w:szCs w:val="24"/>
          <w:u w:val="single"/>
        </w:rPr>
        <w:t>6</w:t>
      </w:r>
      <w:r w:rsidR="00854EDB" w:rsidRPr="00500CD3">
        <w:rPr>
          <w:rFonts w:ascii="Arial" w:hAnsi="Arial" w:cs="Arial"/>
          <w:b/>
          <w:sz w:val="24"/>
          <w:szCs w:val="24"/>
          <w:u w:val="single"/>
        </w:rPr>
        <w:t>. K § 38ab odst. 3</w:t>
      </w:r>
    </w:p>
    <w:p w14:paraId="1D75BE7F" w14:textId="352A6E07" w:rsidR="00DC0C8C" w:rsidRPr="00371AD7" w:rsidRDefault="00FD41C8" w:rsidP="00F408EF">
      <w:pPr>
        <w:jc w:val="both"/>
        <w:rPr>
          <w:rFonts w:ascii="Arial" w:hAnsi="Arial" w:cs="Arial"/>
          <w:b/>
          <w:sz w:val="24"/>
          <w:szCs w:val="24"/>
          <w:u w:val="single"/>
        </w:rPr>
      </w:pPr>
      <w:proofErr w:type="gramStart"/>
      <w:r>
        <w:rPr>
          <w:rFonts w:ascii="Arial" w:hAnsi="Arial" w:cs="Arial"/>
          <w:b/>
          <w:sz w:val="24"/>
          <w:szCs w:val="24"/>
          <w:u w:val="single"/>
        </w:rPr>
        <w:t>6</w:t>
      </w:r>
      <w:r w:rsidR="00DC0C8C" w:rsidRPr="00371AD7">
        <w:rPr>
          <w:rFonts w:ascii="Arial" w:hAnsi="Arial" w:cs="Arial"/>
          <w:b/>
          <w:sz w:val="24"/>
          <w:szCs w:val="24"/>
          <w:u w:val="single"/>
        </w:rPr>
        <w:t>.1.Sankce</w:t>
      </w:r>
      <w:proofErr w:type="gramEnd"/>
    </w:p>
    <w:p w14:paraId="5AA5A69E" w14:textId="77777777" w:rsidR="00854EDB" w:rsidRPr="00F408EF" w:rsidRDefault="00854EDB" w:rsidP="00F408EF">
      <w:pPr>
        <w:jc w:val="both"/>
        <w:rPr>
          <w:rFonts w:ascii="Arial" w:hAnsi="Arial" w:cs="Arial"/>
          <w:sz w:val="24"/>
          <w:szCs w:val="24"/>
        </w:rPr>
      </w:pPr>
      <w:r w:rsidRPr="00F408EF">
        <w:rPr>
          <w:rFonts w:ascii="Arial" w:hAnsi="Arial" w:cs="Arial"/>
          <w:sz w:val="24"/>
          <w:szCs w:val="24"/>
        </w:rPr>
        <w:t xml:space="preserve">Oznámení fiktivní daně z neočekávaných zisků má dle důvodové zprávy mít charakter daňového tvrzení. Důvodová zpráva zároveň uvádí, že když toto oznámení nebude podáno či bude podáno v nesprávné výši, fiktivní daň stanoví správce daně. Chybí však řešení otázky, zda v takovémto případě hrozí i vyměření pokuty za nepodání daňového tvrzení, případně penále či úroku z prodlení. </w:t>
      </w:r>
    </w:p>
    <w:p w14:paraId="1FF5F349" w14:textId="1832F4DE" w:rsidR="00854EDB" w:rsidRPr="00500CD3" w:rsidRDefault="00DC0C8C" w:rsidP="00F408EF">
      <w:pPr>
        <w:jc w:val="both"/>
        <w:rPr>
          <w:rFonts w:ascii="Arial" w:hAnsi="Arial" w:cs="Arial"/>
          <w:sz w:val="24"/>
          <w:szCs w:val="24"/>
          <w:u w:val="single"/>
        </w:rPr>
      </w:pPr>
      <w:proofErr w:type="gramStart"/>
      <w:r>
        <w:rPr>
          <w:rFonts w:ascii="Arial" w:hAnsi="Arial" w:cs="Arial"/>
          <w:sz w:val="24"/>
          <w:szCs w:val="24"/>
          <w:u w:val="single"/>
        </w:rPr>
        <w:t>5.1.1.</w:t>
      </w:r>
      <w:r w:rsidR="00854EDB" w:rsidRPr="00500CD3">
        <w:rPr>
          <w:rFonts w:ascii="Arial" w:hAnsi="Arial" w:cs="Arial"/>
          <w:sz w:val="24"/>
          <w:szCs w:val="24"/>
          <w:u w:val="single"/>
        </w:rPr>
        <w:t>Návrh</w:t>
      </w:r>
      <w:proofErr w:type="gramEnd"/>
      <w:r w:rsidR="00854EDB" w:rsidRPr="00500CD3">
        <w:rPr>
          <w:rFonts w:ascii="Arial" w:hAnsi="Arial" w:cs="Arial"/>
          <w:sz w:val="24"/>
          <w:szCs w:val="24"/>
          <w:u w:val="single"/>
        </w:rPr>
        <w:t xml:space="preserve"> řešení:</w:t>
      </w:r>
    </w:p>
    <w:p w14:paraId="398302F9" w14:textId="77777777" w:rsidR="00854EDB" w:rsidRDefault="00854EDB" w:rsidP="00F408EF">
      <w:pPr>
        <w:jc w:val="both"/>
        <w:rPr>
          <w:rFonts w:ascii="Arial" w:hAnsi="Arial" w:cs="Arial"/>
          <w:sz w:val="24"/>
          <w:szCs w:val="24"/>
        </w:rPr>
      </w:pPr>
      <w:r w:rsidRPr="00F408EF">
        <w:rPr>
          <w:rFonts w:ascii="Arial" w:hAnsi="Arial" w:cs="Arial"/>
          <w:sz w:val="24"/>
          <w:szCs w:val="24"/>
        </w:rPr>
        <w:t xml:space="preserve"> Vzhledem ke specifičnosti tohoto oznámení se domníváme, že by v zákoně výslovně</w:t>
      </w:r>
      <w:r>
        <w:rPr>
          <w:rFonts w:ascii="Arial" w:hAnsi="Arial" w:cs="Arial"/>
          <w:sz w:val="24"/>
          <w:szCs w:val="24"/>
        </w:rPr>
        <w:t xml:space="preserve"> mělo být upraveno, že v </w:t>
      </w:r>
      <w:r w:rsidRPr="00F408EF">
        <w:rPr>
          <w:rFonts w:ascii="Arial" w:hAnsi="Arial" w:cs="Arial"/>
          <w:sz w:val="24"/>
          <w:szCs w:val="24"/>
        </w:rPr>
        <w:t>případech</w:t>
      </w:r>
      <w:r>
        <w:rPr>
          <w:rFonts w:ascii="Arial" w:hAnsi="Arial" w:cs="Arial"/>
          <w:sz w:val="24"/>
          <w:szCs w:val="24"/>
        </w:rPr>
        <w:t xml:space="preserve"> kdy</w:t>
      </w:r>
      <w:r w:rsidRPr="00F408EF">
        <w:rPr>
          <w:rFonts w:ascii="Arial" w:hAnsi="Arial" w:cs="Arial"/>
          <w:sz w:val="24"/>
          <w:szCs w:val="24"/>
        </w:rPr>
        <w:t xml:space="preserve"> fiktivní daň stanoví správce daně, nebudou hrozit další sankce typu pokuty za pozdě podané daňové tvrzení, penále či úroku z prodlení. Je samozřejmé, že pokud díky chybě by poplatník platil nižší zálohy, pak rozdíl mezi nižší a správnou zálohou by byl sankcionován úrokem z prodlení. </w:t>
      </w:r>
    </w:p>
    <w:p w14:paraId="4F5A155D" w14:textId="5A5A8609" w:rsidR="00DC0C8C" w:rsidRPr="00DC0C8C" w:rsidRDefault="00FD41C8" w:rsidP="00DC0C8C">
      <w:pPr>
        <w:jc w:val="both"/>
        <w:rPr>
          <w:rFonts w:ascii="Arial" w:hAnsi="Arial" w:cs="Arial"/>
          <w:sz w:val="24"/>
          <w:szCs w:val="24"/>
        </w:rPr>
      </w:pPr>
      <w:r>
        <w:rPr>
          <w:rFonts w:ascii="Arial" w:hAnsi="Arial" w:cs="Arial"/>
          <w:sz w:val="24"/>
          <w:szCs w:val="24"/>
        </w:rPr>
        <w:t>6</w:t>
      </w:r>
      <w:r w:rsidR="00DC0C8C" w:rsidRPr="00DC0C8C">
        <w:rPr>
          <w:rFonts w:ascii="Arial" w:hAnsi="Arial" w:cs="Arial"/>
          <w:sz w:val="24"/>
          <w:szCs w:val="24"/>
        </w:rPr>
        <w:t>.2. Z návrhu není patrné, zda lze do výpočtu zálohy na základě fiktivní daně z neočekávaných zisků zahrnout taktéž systém přesunu průměru upravených srovnávacích základů mezi členy skupiny dle § 20bd odst. 2 návrhu.</w:t>
      </w:r>
    </w:p>
    <w:p w14:paraId="4DF27A82" w14:textId="6A4281A9" w:rsidR="00DC0C8C" w:rsidRPr="00DC0C8C" w:rsidRDefault="00FD41C8" w:rsidP="00DC0C8C">
      <w:pPr>
        <w:jc w:val="both"/>
        <w:rPr>
          <w:rFonts w:ascii="Arial" w:hAnsi="Arial" w:cs="Arial"/>
          <w:sz w:val="24"/>
          <w:szCs w:val="24"/>
        </w:rPr>
      </w:pPr>
      <w:r>
        <w:rPr>
          <w:rFonts w:ascii="Arial" w:hAnsi="Arial" w:cs="Arial"/>
          <w:sz w:val="24"/>
          <w:szCs w:val="24"/>
        </w:rPr>
        <w:t>6</w:t>
      </w:r>
      <w:r w:rsidR="00DC0C8C" w:rsidRPr="00DC0C8C">
        <w:rPr>
          <w:rFonts w:ascii="Arial" w:hAnsi="Arial" w:cs="Arial"/>
          <w:sz w:val="24"/>
          <w:szCs w:val="24"/>
        </w:rPr>
        <w:t>.2.</w:t>
      </w:r>
      <w:r w:rsidR="00DC0C8C">
        <w:rPr>
          <w:rFonts w:ascii="Arial" w:hAnsi="Arial" w:cs="Arial"/>
          <w:sz w:val="24"/>
          <w:szCs w:val="24"/>
        </w:rPr>
        <w:t>1</w:t>
      </w:r>
      <w:r w:rsidR="00DC0C8C" w:rsidRPr="00DC0C8C">
        <w:rPr>
          <w:rFonts w:ascii="Arial" w:hAnsi="Arial" w:cs="Arial"/>
          <w:sz w:val="24"/>
          <w:szCs w:val="24"/>
        </w:rPr>
        <w:t xml:space="preserve"> Návrh řešení:</w:t>
      </w:r>
    </w:p>
    <w:p w14:paraId="6A52B261" w14:textId="77777777" w:rsidR="00DC0C8C" w:rsidRPr="00DC0C8C" w:rsidRDefault="00DC0C8C" w:rsidP="00DC0C8C">
      <w:pPr>
        <w:jc w:val="both"/>
        <w:rPr>
          <w:rFonts w:ascii="Arial" w:hAnsi="Arial" w:cs="Arial"/>
          <w:sz w:val="24"/>
          <w:szCs w:val="24"/>
        </w:rPr>
      </w:pPr>
      <w:r w:rsidRPr="00DC0C8C">
        <w:rPr>
          <w:rFonts w:ascii="Arial" w:hAnsi="Arial" w:cs="Arial"/>
          <w:sz w:val="24"/>
          <w:szCs w:val="24"/>
        </w:rPr>
        <w:t>Navrhujeme stanovit, že lze při výpočtu zálohy z fiktivní daně z neočekávaných zisků zahrnout taktéž systém přesunu průměru upravených srovnávacích základů mezi členy skupiny dle § 20bd odst. 2 návrhu s tím, že by takový postup oznámil zastupující poplatník do lhůty pro podání oznámení fiktivní daně z neočekávaných zisků.</w:t>
      </w:r>
    </w:p>
    <w:p w14:paraId="7215E0EC" w14:textId="77777777" w:rsidR="00854EDB" w:rsidRDefault="00854EDB" w:rsidP="00F408EF">
      <w:pPr>
        <w:jc w:val="both"/>
        <w:rPr>
          <w:rFonts w:ascii="Arial" w:hAnsi="Arial" w:cs="Arial"/>
          <w:sz w:val="24"/>
          <w:szCs w:val="24"/>
        </w:rPr>
      </w:pPr>
    </w:p>
    <w:p w14:paraId="4C62AF1A" w14:textId="77777777" w:rsidR="00854EDB" w:rsidRDefault="00854EDB" w:rsidP="00F408EF">
      <w:pPr>
        <w:jc w:val="both"/>
        <w:rPr>
          <w:rFonts w:ascii="Arial" w:hAnsi="Arial" w:cs="Arial"/>
          <w:sz w:val="24"/>
          <w:szCs w:val="24"/>
        </w:rPr>
      </w:pPr>
      <w:r>
        <w:rPr>
          <w:rFonts w:ascii="Arial" w:hAnsi="Arial" w:cs="Arial"/>
          <w:sz w:val="24"/>
          <w:szCs w:val="24"/>
        </w:rPr>
        <w:t>Zpracoval: Jiří Nesrovnal, člen prezidia KDP ČR vedoucí sekce DPPO</w:t>
      </w:r>
    </w:p>
    <w:p w14:paraId="00E44B8C" w14:textId="4B160F09" w:rsidR="00854EDB" w:rsidRDefault="00854EDB" w:rsidP="00500CD3">
      <w:pPr>
        <w:jc w:val="both"/>
        <w:rPr>
          <w:rFonts w:ascii="Arial" w:hAnsi="Arial" w:cs="Arial"/>
          <w:sz w:val="24"/>
          <w:szCs w:val="24"/>
        </w:rPr>
      </w:pPr>
      <w:r>
        <w:rPr>
          <w:rFonts w:ascii="Arial" w:hAnsi="Arial" w:cs="Arial"/>
          <w:sz w:val="24"/>
          <w:szCs w:val="24"/>
        </w:rPr>
        <w:t xml:space="preserve">Připomínky zaslali: </w:t>
      </w:r>
      <w:r w:rsidR="00932829">
        <w:rPr>
          <w:rFonts w:ascii="Arial" w:hAnsi="Arial" w:cs="Arial"/>
          <w:sz w:val="24"/>
          <w:szCs w:val="24"/>
        </w:rPr>
        <w:t xml:space="preserve">Jana Fuksová členka sekce DPPO, </w:t>
      </w:r>
      <w:r>
        <w:rPr>
          <w:rFonts w:ascii="Arial" w:hAnsi="Arial" w:cs="Arial"/>
          <w:sz w:val="24"/>
          <w:szCs w:val="24"/>
        </w:rPr>
        <w:t xml:space="preserve">Jiří Nesrovnal, člen prezidia KDP ČR vedoucí sekce DPPO, Petr Toman </w:t>
      </w:r>
      <w:proofErr w:type="spellStart"/>
      <w:r>
        <w:rPr>
          <w:rFonts w:ascii="Arial" w:hAnsi="Arial" w:cs="Arial"/>
          <w:sz w:val="24"/>
          <w:szCs w:val="24"/>
        </w:rPr>
        <w:t>víceprezidet</w:t>
      </w:r>
      <w:proofErr w:type="spellEnd"/>
      <w:r>
        <w:rPr>
          <w:rFonts w:ascii="Arial" w:hAnsi="Arial" w:cs="Arial"/>
          <w:sz w:val="24"/>
          <w:szCs w:val="24"/>
        </w:rPr>
        <w:t xml:space="preserve"> KDP ČR</w:t>
      </w:r>
      <w:r w:rsidR="00932829">
        <w:rPr>
          <w:rFonts w:ascii="Arial" w:hAnsi="Arial" w:cs="Arial"/>
          <w:sz w:val="24"/>
          <w:szCs w:val="24"/>
        </w:rPr>
        <w:t xml:space="preserve">, </w:t>
      </w:r>
      <w:r w:rsidR="00FD41C8">
        <w:rPr>
          <w:rFonts w:ascii="Arial" w:hAnsi="Arial" w:cs="Arial"/>
          <w:sz w:val="24"/>
          <w:szCs w:val="24"/>
        </w:rPr>
        <w:t xml:space="preserve">Petra Pospíšilová </w:t>
      </w:r>
      <w:r w:rsidR="00FD41C8">
        <w:rPr>
          <w:rFonts w:ascii="Arial" w:hAnsi="Arial" w:cs="Arial"/>
          <w:sz w:val="24"/>
          <w:szCs w:val="24"/>
        </w:rPr>
        <w:lastRenderedPageBreak/>
        <w:t xml:space="preserve">prezidentka KDP ČR, </w:t>
      </w:r>
      <w:r w:rsidR="00932829">
        <w:rPr>
          <w:rFonts w:ascii="Arial" w:hAnsi="Arial" w:cs="Arial"/>
          <w:sz w:val="24"/>
          <w:szCs w:val="24"/>
        </w:rPr>
        <w:t xml:space="preserve">Marie </w:t>
      </w:r>
      <w:proofErr w:type="spellStart"/>
      <w:r w:rsidR="00932829">
        <w:rPr>
          <w:rFonts w:ascii="Arial" w:hAnsi="Arial" w:cs="Arial"/>
          <w:sz w:val="24"/>
          <w:szCs w:val="24"/>
        </w:rPr>
        <w:t>Velfová</w:t>
      </w:r>
      <w:proofErr w:type="spellEnd"/>
      <w:r w:rsidR="00932829">
        <w:rPr>
          <w:rFonts w:ascii="Arial" w:hAnsi="Arial" w:cs="Arial"/>
          <w:sz w:val="24"/>
          <w:szCs w:val="24"/>
        </w:rPr>
        <w:t xml:space="preserve"> člen sekce DPPO, Roman Ženatý čelen sekce DPPO.</w:t>
      </w:r>
    </w:p>
    <w:p w14:paraId="5132D7D4" w14:textId="77777777" w:rsidR="00854EDB" w:rsidRPr="00F408EF" w:rsidRDefault="00854EDB" w:rsidP="00F408EF">
      <w:pPr>
        <w:jc w:val="both"/>
        <w:rPr>
          <w:rFonts w:ascii="Arial" w:hAnsi="Arial" w:cs="Arial"/>
          <w:sz w:val="24"/>
          <w:szCs w:val="24"/>
        </w:rPr>
      </w:pPr>
      <w:r>
        <w:rPr>
          <w:rFonts w:ascii="Arial" w:hAnsi="Arial" w:cs="Arial"/>
          <w:sz w:val="24"/>
          <w:szCs w:val="24"/>
        </w:rPr>
        <w:t xml:space="preserve"> </w:t>
      </w:r>
    </w:p>
    <w:sectPr w:rsidR="00854EDB" w:rsidRPr="00F408EF" w:rsidSect="00500CD3">
      <w:pgSz w:w="11906" w:h="16838"/>
      <w:pgMar w:top="1417" w:right="1417" w:bottom="899" w:left="1417"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EE5674" w16cex:dateUtc="2022-10-10T06:29:00Z"/>
  <w16cex:commentExtensible w16cex:durableId="26EE56B8" w16cex:dateUtc="2022-10-10T06:30:00Z"/>
  <w16cex:commentExtensible w16cex:durableId="26EE5894" w16cex:dateUtc="2022-10-10T06:38:00Z"/>
  <w16cex:commentExtensible w16cex:durableId="26EE5861" w16cex:dateUtc="2022-10-10T06:37:00Z"/>
  <w16cex:commentExtensible w16cex:durableId="26EE6C96" w16cex:dateUtc="2022-10-10T08:04:00Z"/>
  <w16cex:commentExtensible w16cex:durableId="26EE6D59" w16cex:dateUtc="2022-10-10T08:07:00Z"/>
  <w16cex:commentExtensible w16cex:durableId="26EE6D5A" w16cex:dateUtc="2022-10-10T08:07:00Z"/>
  <w16cex:commentExtensible w16cex:durableId="26EE6DDA" w16cex:dateUtc="2022-10-10T08: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3583610" w16cid:durableId="26EE5674"/>
  <w16cid:commentId w16cid:paraId="41BC5524" w16cid:durableId="26EE56B8"/>
  <w16cid:commentId w16cid:paraId="04A29443" w16cid:durableId="26EE5894"/>
  <w16cid:commentId w16cid:paraId="4AB3101C" w16cid:durableId="26EE5861"/>
  <w16cid:commentId w16cid:paraId="0CF7523B" w16cid:durableId="26EE6C96"/>
  <w16cid:commentId w16cid:paraId="67A6A178" w16cid:durableId="26EE6D59"/>
  <w16cid:commentId w16cid:paraId="16999BF8" w16cid:durableId="26EE6D5A"/>
  <w16cid:commentId w16cid:paraId="1407C3A5" w16cid:durableId="26EE6DDA"/>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A0AC94" w14:textId="77777777" w:rsidR="0020503F" w:rsidRDefault="0020503F" w:rsidP="001B5A7D">
      <w:pPr>
        <w:spacing w:after="0" w:line="240" w:lineRule="auto"/>
      </w:pPr>
      <w:r>
        <w:separator/>
      </w:r>
    </w:p>
  </w:endnote>
  <w:endnote w:type="continuationSeparator" w:id="0">
    <w:p w14:paraId="36AAC230" w14:textId="77777777" w:rsidR="0020503F" w:rsidRDefault="0020503F" w:rsidP="001B5A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Open Sans">
    <w:altName w:val="Tahoma"/>
    <w:charset w:val="EE"/>
    <w:family w:val="swiss"/>
    <w:pitch w:val="variable"/>
    <w:sig w:usb0="00000001" w:usb1="4000205B" w:usb2="00000028" w:usb3="00000000" w:csb0="0000019F" w:csb1="00000000"/>
  </w:font>
  <w:font w:name="Cambria Math">
    <w:panose1 w:val="02040503050406030204"/>
    <w:charset w:val="EE"/>
    <w:family w:val="roman"/>
    <w:pitch w:val="variable"/>
    <w:sig w:usb0="E00006FF" w:usb1="420024FF" w:usb2="0200000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351DAB" w14:textId="77777777" w:rsidR="0020503F" w:rsidRDefault="0020503F" w:rsidP="001B5A7D">
      <w:pPr>
        <w:spacing w:after="0" w:line="240" w:lineRule="auto"/>
      </w:pPr>
      <w:r>
        <w:separator/>
      </w:r>
    </w:p>
  </w:footnote>
  <w:footnote w:type="continuationSeparator" w:id="0">
    <w:p w14:paraId="01B4C645" w14:textId="77777777" w:rsidR="0020503F" w:rsidRDefault="0020503F" w:rsidP="001B5A7D">
      <w:pPr>
        <w:spacing w:after="0" w:line="240" w:lineRule="auto"/>
      </w:pPr>
      <w:r>
        <w:continuationSeparator/>
      </w:r>
    </w:p>
  </w:footnote>
  <w:footnote w:id="1">
    <w:p w14:paraId="2F45764C" w14:textId="77777777" w:rsidR="00FD41C8" w:rsidRDefault="00FD41C8" w:rsidP="00FD41C8">
      <w:pPr>
        <w:pStyle w:val="Textpoznpodarou"/>
      </w:pPr>
      <w:r>
        <w:rPr>
          <w:rStyle w:val="Znakapoznpodarou"/>
        </w:rPr>
        <w:footnoteRef/>
      </w:r>
      <w:r>
        <w:t xml:space="preserve"> K zásadě proporcionality např. bod 56 rozsudku SDEU ve spojených věcech </w:t>
      </w:r>
      <w:r>
        <w:rPr>
          <w:rFonts w:ascii="Open Sans" w:hAnsi="Open Sans" w:cs="Open Sans"/>
          <w:color w:val="000000"/>
          <w:sz w:val="18"/>
          <w:szCs w:val="18"/>
        </w:rPr>
        <w:t>C</w:t>
      </w:r>
      <w:r>
        <w:rPr>
          <w:rFonts w:ascii="Open Sans" w:hAnsi="Open Sans" w:cs="Open Sans"/>
          <w:color w:val="000000"/>
          <w:sz w:val="18"/>
          <w:szCs w:val="18"/>
        </w:rPr>
        <w:noBreakHyphen/>
        <w:t>504/16 a C</w:t>
      </w:r>
      <w:r>
        <w:rPr>
          <w:rFonts w:ascii="Open Sans" w:hAnsi="Open Sans" w:cs="Open Sans"/>
          <w:color w:val="000000"/>
          <w:sz w:val="18"/>
          <w:szCs w:val="18"/>
        </w:rPr>
        <w:noBreakHyphen/>
        <w:t>613/16: „</w:t>
      </w:r>
      <w:r>
        <w:rPr>
          <w:i/>
          <w:iCs/>
        </w:rPr>
        <w:t xml:space="preserve">dodržování této zásady vyžaduje, aby opatření stanovená členskými státy směřovala k potlačení daňových úniků a zneužívání daňových předpisů, byla vhodná pro dosažení tohoto cíle, a nešla nad rámec toho, co je k jeho dosažení nezbytné (v tomto smyslu viz rozsudky ze dne 18. listopadu 1987, Maizena a další, 137/85, EU:C:1987:493, bod 15, jakož i ze dne 30. června 2011, </w:t>
      </w:r>
      <w:proofErr w:type="spellStart"/>
      <w:r>
        <w:rPr>
          <w:i/>
          <w:iCs/>
        </w:rPr>
        <w:t>Meilicke</w:t>
      </w:r>
      <w:proofErr w:type="spellEnd"/>
      <w:r>
        <w:rPr>
          <w:i/>
          <w:iCs/>
        </w:rPr>
        <w:t xml:space="preserve"> a další, C</w:t>
      </w:r>
      <w:r>
        <w:rPr>
          <w:rFonts w:ascii="Cambria Math" w:hAnsi="Cambria Math" w:cs="Cambria Math"/>
          <w:i/>
          <w:iCs/>
        </w:rPr>
        <w:noBreakHyphen/>
      </w:r>
      <w:r>
        <w:rPr>
          <w:i/>
          <w:iCs/>
        </w:rPr>
        <w:t>262/09, EU:C:2011:438, bod 42 a citovan</w:t>
      </w:r>
      <w:r>
        <w:rPr>
          <w:rFonts w:cs="Calibri"/>
          <w:i/>
          <w:iCs/>
        </w:rPr>
        <w:t>á</w:t>
      </w:r>
      <w:r>
        <w:rPr>
          <w:i/>
          <w:iCs/>
        </w:rPr>
        <w:t xml:space="preserve"> judikatura).</w:t>
      </w:r>
      <w: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56C7009"/>
    <w:multiLevelType w:val="hybridMultilevel"/>
    <w:tmpl w:val="8140E576"/>
    <w:lvl w:ilvl="0" w:tplc="0405000F">
      <w:start w:val="1"/>
      <w:numFmt w:val="decimal"/>
      <w:lvlText w:val="%1."/>
      <w:lvlJc w:val="left"/>
      <w:pPr>
        <w:ind w:left="720" w:hanging="360"/>
      </w:pPr>
      <w:rPr>
        <w:rFonts w:cs="Times New Roman" w:hint="default"/>
      </w:rPr>
    </w:lvl>
    <w:lvl w:ilvl="1" w:tplc="04050019" w:tentative="1">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8DB"/>
    <w:rsid w:val="00025259"/>
    <w:rsid w:val="000307D2"/>
    <w:rsid w:val="0005411A"/>
    <w:rsid w:val="000A0B00"/>
    <w:rsid w:val="000A6A49"/>
    <w:rsid w:val="000C4530"/>
    <w:rsid w:val="000D47EA"/>
    <w:rsid w:val="001B5A7D"/>
    <w:rsid w:val="001C1AC3"/>
    <w:rsid w:val="001C6790"/>
    <w:rsid w:val="002048DB"/>
    <w:rsid w:val="0020503F"/>
    <w:rsid w:val="002207B0"/>
    <w:rsid w:val="0023506B"/>
    <w:rsid w:val="0028734B"/>
    <w:rsid w:val="00371AD7"/>
    <w:rsid w:val="00386B78"/>
    <w:rsid w:val="003A7EC7"/>
    <w:rsid w:val="003F1B60"/>
    <w:rsid w:val="0044027F"/>
    <w:rsid w:val="00462D3D"/>
    <w:rsid w:val="00472E51"/>
    <w:rsid w:val="00500CD3"/>
    <w:rsid w:val="005459B4"/>
    <w:rsid w:val="00590829"/>
    <w:rsid w:val="00607F7A"/>
    <w:rsid w:val="00631654"/>
    <w:rsid w:val="00761D1C"/>
    <w:rsid w:val="00854EDB"/>
    <w:rsid w:val="008559DE"/>
    <w:rsid w:val="00916696"/>
    <w:rsid w:val="00932829"/>
    <w:rsid w:val="0094109B"/>
    <w:rsid w:val="00941CAC"/>
    <w:rsid w:val="00A828D8"/>
    <w:rsid w:val="00AB210E"/>
    <w:rsid w:val="00AE4F94"/>
    <w:rsid w:val="00AF7D99"/>
    <w:rsid w:val="00B4235F"/>
    <w:rsid w:val="00B60D55"/>
    <w:rsid w:val="00B8484C"/>
    <w:rsid w:val="00BC033F"/>
    <w:rsid w:val="00C15300"/>
    <w:rsid w:val="00C44C59"/>
    <w:rsid w:val="00C516C2"/>
    <w:rsid w:val="00C6369A"/>
    <w:rsid w:val="00C651FA"/>
    <w:rsid w:val="00C82809"/>
    <w:rsid w:val="00C85387"/>
    <w:rsid w:val="00CA5801"/>
    <w:rsid w:val="00CC5BF9"/>
    <w:rsid w:val="00D316AE"/>
    <w:rsid w:val="00D4272C"/>
    <w:rsid w:val="00D44DC6"/>
    <w:rsid w:val="00D46741"/>
    <w:rsid w:val="00D604ED"/>
    <w:rsid w:val="00DC0C8C"/>
    <w:rsid w:val="00DE547B"/>
    <w:rsid w:val="00E00E13"/>
    <w:rsid w:val="00E37FBB"/>
    <w:rsid w:val="00EC19FF"/>
    <w:rsid w:val="00F217A4"/>
    <w:rsid w:val="00F3092D"/>
    <w:rsid w:val="00F35799"/>
    <w:rsid w:val="00F401F7"/>
    <w:rsid w:val="00F408EF"/>
    <w:rsid w:val="00F55F3B"/>
    <w:rsid w:val="00FB1612"/>
    <w:rsid w:val="00FD41C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14:docId w14:val="70626D76"/>
  <w15:docId w15:val="{75DC9118-35E0-4358-9C9C-66A16A876D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cs-CZ" w:eastAsia="cs-CZ"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386B78"/>
    <w:pPr>
      <w:spacing w:after="160" w:line="259"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2048DB"/>
    <w:pPr>
      <w:ind w:left="720"/>
      <w:contextualSpacing/>
    </w:pPr>
  </w:style>
  <w:style w:type="character" w:styleId="Odkaznakoment">
    <w:name w:val="annotation reference"/>
    <w:basedOn w:val="Standardnpsmoodstavce"/>
    <w:uiPriority w:val="99"/>
    <w:semiHidden/>
    <w:unhideWhenUsed/>
    <w:rsid w:val="00590829"/>
    <w:rPr>
      <w:sz w:val="16"/>
      <w:szCs w:val="16"/>
    </w:rPr>
  </w:style>
  <w:style w:type="paragraph" w:styleId="Textkomente">
    <w:name w:val="annotation text"/>
    <w:basedOn w:val="Normln"/>
    <w:link w:val="TextkomenteChar"/>
    <w:uiPriority w:val="99"/>
    <w:semiHidden/>
    <w:unhideWhenUsed/>
    <w:rsid w:val="00590829"/>
    <w:pPr>
      <w:spacing w:line="240" w:lineRule="auto"/>
    </w:pPr>
    <w:rPr>
      <w:sz w:val="20"/>
      <w:szCs w:val="20"/>
    </w:rPr>
  </w:style>
  <w:style w:type="character" w:customStyle="1" w:styleId="TextkomenteChar">
    <w:name w:val="Text komentáře Char"/>
    <w:basedOn w:val="Standardnpsmoodstavce"/>
    <w:link w:val="Textkomente"/>
    <w:uiPriority w:val="99"/>
    <w:semiHidden/>
    <w:rsid w:val="00590829"/>
    <w:rPr>
      <w:sz w:val="20"/>
      <w:szCs w:val="20"/>
      <w:lang w:eastAsia="en-US"/>
    </w:rPr>
  </w:style>
  <w:style w:type="paragraph" w:styleId="Pedmtkomente">
    <w:name w:val="annotation subject"/>
    <w:basedOn w:val="Textkomente"/>
    <w:next w:val="Textkomente"/>
    <w:link w:val="PedmtkomenteChar"/>
    <w:uiPriority w:val="99"/>
    <w:semiHidden/>
    <w:unhideWhenUsed/>
    <w:rsid w:val="00590829"/>
    <w:rPr>
      <w:b/>
      <w:bCs/>
    </w:rPr>
  </w:style>
  <w:style w:type="character" w:customStyle="1" w:styleId="PedmtkomenteChar">
    <w:name w:val="Předmět komentáře Char"/>
    <w:basedOn w:val="TextkomenteChar"/>
    <w:link w:val="Pedmtkomente"/>
    <w:uiPriority w:val="99"/>
    <w:semiHidden/>
    <w:rsid w:val="00590829"/>
    <w:rPr>
      <w:b/>
      <w:bCs/>
      <w:sz w:val="20"/>
      <w:szCs w:val="20"/>
      <w:lang w:eastAsia="en-US"/>
    </w:rPr>
  </w:style>
  <w:style w:type="paragraph" w:styleId="Textbubliny">
    <w:name w:val="Balloon Text"/>
    <w:basedOn w:val="Normln"/>
    <w:link w:val="TextbublinyChar"/>
    <w:uiPriority w:val="99"/>
    <w:semiHidden/>
    <w:unhideWhenUsed/>
    <w:rsid w:val="00B8484C"/>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B8484C"/>
    <w:rPr>
      <w:rFonts w:ascii="Tahoma" w:hAnsi="Tahoma" w:cs="Tahoma"/>
      <w:sz w:val="16"/>
      <w:szCs w:val="16"/>
      <w:lang w:eastAsia="en-US"/>
    </w:rPr>
  </w:style>
  <w:style w:type="paragraph" w:styleId="Textpoznpodarou">
    <w:name w:val="footnote text"/>
    <w:basedOn w:val="Normln"/>
    <w:link w:val="TextpoznpodarouChar"/>
    <w:uiPriority w:val="99"/>
    <w:semiHidden/>
    <w:unhideWhenUsed/>
    <w:rsid w:val="00D604ED"/>
    <w:rPr>
      <w:sz w:val="20"/>
      <w:szCs w:val="20"/>
    </w:rPr>
  </w:style>
  <w:style w:type="character" w:customStyle="1" w:styleId="TextpoznpodarouChar">
    <w:name w:val="Text pozn. pod čarou Char"/>
    <w:basedOn w:val="Standardnpsmoodstavce"/>
    <w:link w:val="Textpoznpodarou"/>
    <w:uiPriority w:val="99"/>
    <w:semiHidden/>
    <w:rsid w:val="00D604ED"/>
    <w:rPr>
      <w:sz w:val="20"/>
      <w:szCs w:val="20"/>
      <w:lang w:eastAsia="en-US"/>
    </w:rPr>
  </w:style>
  <w:style w:type="character" w:styleId="Znakapoznpodarou">
    <w:name w:val="footnote reference"/>
    <w:basedOn w:val="Standardnpsmoodstavce"/>
    <w:uiPriority w:val="99"/>
    <w:semiHidden/>
    <w:unhideWhenUsed/>
    <w:rsid w:val="00D604ED"/>
    <w:rPr>
      <w:vertAlign w:val="superscript"/>
    </w:rPr>
  </w:style>
  <w:style w:type="paragraph" w:styleId="Revize">
    <w:name w:val="Revision"/>
    <w:hidden/>
    <w:uiPriority w:val="99"/>
    <w:semiHidden/>
    <w:rsid w:val="00916696"/>
    <w:rPr>
      <w:lang w:eastAsia="en-US"/>
    </w:rPr>
  </w:style>
  <w:style w:type="paragraph" w:styleId="Zhlav">
    <w:name w:val="header"/>
    <w:basedOn w:val="Normln"/>
    <w:link w:val="ZhlavChar"/>
    <w:uiPriority w:val="99"/>
    <w:unhideWhenUsed/>
    <w:rsid w:val="00916696"/>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916696"/>
    <w:rPr>
      <w:lang w:eastAsia="en-US"/>
    </w:rPr>
  </w:style>
  <w:style w:type="paragraph" w:styleId="Zpat">
    <w:name w:val="footer"/>
    <w:basedOn w:val="Normln"/>
    <w:link w:val="ZpatChar"/>
    <w:uiPriority w:val="99"/>
    <w:unhideWhenUsed/>
    <w:rsid w:val="00916696"/>
    <w:pPr>
      <w:tabs>
        <w:tab w:val="center" w:pos="4536"/>
        <w:tab w:val="right" w:pos="9072"/>
      </w:tabs>
      <w:spacing w:after="0" w:line="240" w:lineRule="auto"/>
    </w:pPr>
  </w:style>
  <w:style w:type="character" w:customStyle="1" w:styleId="ZpatChar">
    <w:name w:val="Zápatí Char"/>
    <w:basedOn w:val="Standardnpsmoodstavce"/>
    <w:link w:val="Zpat"/>
    <w:uiPriority w:val="99"/>
    <w:rsid w:val="00916696"/>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716383">
      <w:bodyDiv w:val="1"/>
      <w:marLeft w:val="0"/>
      <w:marRight w:val="0"/>
      <w:marTop w:val="0"/>
      <w:marBottom w:val="0"/>
      <w:divBdr>
        <w:top w:val="none" w:sz="0" w:space="0" w:color="auto"/>
        <w:left w:val="none" w:sz="0" w:space="0" w:color="auto"/>
        <w:bottom w:val="none" w:sz="0" w:space="0" w:color="auto"/>
        <w:right w:val="none" w:sz="0" w:space="0" w:color="auto"/>
      </w:divBdr>
    </w:div>
    <w:div w:id="1404403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6/09/relationships/commentsIds" Target="commentsIds.xml"/><Relationship Id="rId4" Type="http://schemas.openxmlformats.org/officeDocument/2006/relationships/settings" Target="settings.xml"/><Relationship Id="rId9" Type="http://schemas.openxmlformats.org/officeDocument/2006/relationships/theme" Target="theme/theme1.xml"/><Relationship Id="rId14" Type="http://schemas.microsoft.com/office/2018/08/relationships/commentsExtensible" Target="commentsExtensi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357501-6121-4170-AB33-9832C9D951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7</Pages>
  <Words>2290</Words>
  <Characters>13517</Characters>
  <Application>Microsoft Office Word</Application>
  <DocSecurity>0</DocSecurity>
  <Lines>112</Lines>
  <Paragraphs>31</Paragraphs>
  <ScaleCrop>false</ScaleCrop>
  <HeadingPairs>
    <vt:vector size="2" baseType="variant">
      <vt:variant>
        <vt:lpstr>Název</vt:lpstr>
      </vt:variant>
      <vt:variant>
        <vt:i4>1</vt:i4>
      </vt:variant>
    </vt:vector>
  </HeadingPairs>
  <TitlesOfParts>
    <vt:vector size="1" baseType="lpstr">
      <vt:lpstr>1</vt:lpstr>
    </vt:vector>
  </TitlesOfParts>
  <Company>Komora daňových poradců ČR</Company>
  <LinksUpToDate>false</LinksUpToDate>
  <CharactersWithSpaces>15776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dc:title>
  <dc:subject/>
  <dc:creator>user</dc:creator>
  <cp:keywords/>
  <dc:description/>
  <cp:lastModifiedBy>Půček,Tomáš</cp:lastModifiedBy>
  <cp:revision>8</cp:revision>
  <dcterms:created xsi:type="dcterms:W3CDTF">2022-10-10T06:29:00Z</dcterms:created>
  <dcterms:modified xsi:type="dcterms:W3CDTF">2022-10-21T08:44:00Z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296db974-983c-4868-8628-e426985202e0_Enabled">
    <vt:lpwstr>true</vt:lpwstr>
  </property>
  <property fmtid="{D5CDD505-2E9C-101B-9397-08002B2CF9AE}" pid="3" name="MSIP_Label_296db974-983c-4868-8628-e426985202e0_SetDate">
    <vt:lpwstr>2022-10-10T06:29:04Z</vt:lpwstr>
  </property>
  <property fmtid="{D5CDD505-2E9C-101B-9397-08002B2CF9AE}" pid="4" name="MSIP_Label_296db974-983c-4868-8628-e426985202e0_Method">
    <vt:lpwstr>Privileged</vt:lpwstr>
  </property>
  <property fmtid="{D5CDD505-2E9C-101B-9397-08002B2CF9AE}" pid="5" name="MSIP_Label_296db974-983c-4868-8628-e426985202e0_Name">
    <vt:lpwstr>296db974-983c-4868-8628-e426985202e0</vt:lpwstr>
  </property>
  <property fmtid="{D5CDD505-2E9C-101B-9397-08002B2CF9AE}" pid="6" name="MSIP_Label_296db974-983c-4868-8628-e426985202e0_SiteId">
    <vt:lpwstr>64af2aee-7d6c-49ac-a409-192d3fee73b8</vt:lpwstr>
  </property>
  <property fmtid="{D5CDD505-2E9C-101B-9397-08002B2CF9AE}" pid="7" name="MSIP_Label_296db974-983c-4868-8628-e426985202e0_ActionId">
    <vt:lpwstr>f2461612-0159-4e43-920f-402525b880f1</vt:lpwstr>
  </property>
  <property fmtid="{D5CDD505-2E9C-101B-9397-08002B2CF9AE}" pid="8" name="MSIP_Label_296db974-983c-4868-8628-e426985202e0_ContentBits">
    <vt:lpwstr>0</vt:lpwstr>
  </property>
</Properties>
</file>