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1CC9" w:rsidRPr="00D36422" w:rsidRDefault="00153F13" w:rsidP="00D36422">
      <w:pPr>
        <w:jc w:val="center"/>
        <w:rPr>
          <w:b/>
          <w:sz w:val="36"/>
          <w:szCs w:val="28"/>
        </w:rPr>
      </w:pPr>
      <w:r w:rsidRPr="004E02E0">
        <w:rPr>
          <w:b/>
          <w:sz w:val="36"/>
          <w:szCs w:val="28"/>
        </w:rPr>
        <w:t xml:space="preserve">Připomínky KDP ČR k návrhu </w:t>
      </w:r>
      <w:r w:rsidR="00534A26" w:rsidRPr="004E02E0">
        <w:rPr>
          <w:b/>
          <w:sz w:val="36"/>
          <w:szCs w:val="28"/>
        </w:rPr>
        <w:t>věcného záměru zákona o účetnictví</w:t>
      </w:r>
    </w:p>
    <w:tbl>
      <w:tblPr>
        <w:tblpPr w:leftFromText="141" w:rightFromText="141" w:vertAnchor="page" w:horzAnchor="margin" w:tblpXSpec="center" w:tblpY="3442"/>
        <w:tblW w:w="13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3"/>
        <w:gridCol w:w="6662"/>
        <w:gridCol w:w="5727"/>
      </w:tblGrid>
      <w:tr w:rsidR="00503EBB" w:rsidTr="00D36422">
        <w:tblPrEx>
          <w:tblCellMar>
            <w:top w:w="0" w:type="dxa"/>
            <w:bottom w:w="0" w:type="dxa"/>
          </w:tblCellMar>
        </w:tblPrEx>
        <w:trPr>
          <w:trHeight w:val="171"/>
          <w:jc w:val="center"/>
        </w:trPr>
        <w:tc>
          <w:tcPr>
            <w:tcW w:w="8075" w:type="dxa"/>
            <w:gridSpan w:val="2"/>
            <w:tcBorders>
              <w:bottom w:val="double" w:sz="4" w:space="0" w:color="auto"/>
            </w:tcBorders>
            <w:vAlign w:val="center"/>
          </w:tcPr>
          <w:p w:rsidR="00503EBB" w:rsidRPr="00503EBB" w:rsidRDefault="00203D3D" w:rsidP="00D36422">
            <w:pPr>
              <w:spacing w:after="0"/>
              <w:jc w:val="center"/>
              <w:rPr>
                <w:rFonts w:cstheme="minorHAnsi"/>
                <w:b/>
                <w:sz w:val="28"/>
                <w:szCs w:val="28"/>
              </w:rPr>
            </w:pPr>
            <w:r>
              <w:rPr>
                <w:rFonts w:cstheme="minorHAnsi"/>
                <w:b/>
                <w:sz w:val="28"/>
                <w:szCs w:val="28"/>
              </w:rPr>
              <w:t>Připomínka</w:t>
            </w:r>
            <w:r w:rsidR="00503EBB" w:rsidRPr="00503EBB">
              <w:rPr>
                <w:rFonts w:cstheme="minorHAnsi"/>
                <w:b/>
                <w:sz w:val="28"/>
                <w:szCs w:val="28"/>
              </w:rPr>
              <w:t xml:space="preserve"> KDP ČR</w:t>
            </w:r>
          </w:p>
        </w:tc>
        <w:tc>
          <w:tcPr>
            <w:tcW w:w="5727" w:type="dxa"/>
            <w:tcBorders>
              <w:bottom w:val="double" w:sz="4" w:space="0" w:color="auto"/>
            </w:tcBorders>
            <w:vAlign w:val="center"/>
          </w:tcPr>
          <w:p w:rsidR="00503EBB" w:rsidRPr="00503EBB" w:rsidRDefault="00503EBB" w:rsidP="00D36422">
            <w:pPr>
              <w:spacing w:after="0"/>
              <w:jc w:val="center"/>
              <w:rPr>
                <w:rFonts w:cstheme="minorHAnsi"/>
                <w:b/>
                <w:sz w:val="28"/>
                <w:szCs w:val="28"/>
              </w:rPr>
            </w:pPr>
            <w:r w:rsidRPr="00503EBB">
              <w:rPr>
                <w:rFonts w:cstheme="minorHAnsi"/>
                <w:b/>
                <w:sz w:val="28"/>
                <w:szCs w:val="28"/>
              </w:rPr>
              <w:t>Zdůvodnění</w:t>
            </w:r>
          </w:p>
        </w:tc>
      </w:tr>
      <w:tr w:rsidR="00D36422" w:rsidTr="00D36422">
        <w:tblPrEx>
          <w:tblCellMar>
            <w:top w:w="0" w:type="dxa"/>
            <w:bottom w:w="0" w:type="dxa"/>
          </w:tblCellMar>
        </w:tblPrEx>
        <w:trPr>
          <w:trHeight w:val="500"/>
          <w:jc w:val="center"/>
        </w:trPr>
        <w:tc>
          <w:tcPr>
            <w:tcW w:w="1413" w:type="dxa"/>
            <w:tcBorders>
              <w:top w:val="double" w:sz="4" w:space="0" w:color="auto"/>
              <w:bottom w:val="single" w:sz="4" w:space="0" w:color="auto"/>
            </w:tcBorders>
            <w:vAlign w:val="center"/>
          </w:tcPr>
          <w:p w:rsidR="00503EBB" w:rsidRPr="00503EBB" w:rsidRDefault="00503EBB" w:rsidP="00D36422">
            <w:pPr>
              <w:spacing w:after="0"/>
              <w:jc w:val="center"/>
              <w:rPr>
                <w:rFonts w:cstheme="minorHAnsi"/>
                <w:b/>
                <w:sz w:val="28"/>
                <w:szCs w:val="28"/>
              </w:rPr>
            </w:pPr>
            <w:r w:rsidRPr="00503EBB">
              <w:rPr>
                <w:rFonts w:cstheme="minorHAnsi"/>
                <w:b/>
                <w:sz w:val="28"/>
                <w:szCs w:val="28"/>
              </w:rPr>
              <w:t>1.</w:t>
            </w:r>
          </w:p>
        </w:tc>
        <w:tc>
          <w:tcPr>
            <w:tcW w:w="6662" w:type="dxa"/>
            <w:tcBorders>
              <w:top w:val="double" w:sz="4" w:space="0" w:color="auto"/>
              <w:bottom w:val="single" w:sz="4" w:space="0" w:color="auto"/>
            </w:tcBorders>
            <w:vAlign w:val="center"/>
          </w:tcPr>
          <w:p w:rsidR="00D36422" w:rsidRDefault="00D36422" w:rsidP="00D36422">
            <w:pPr>
              <w:spacing w:after="0"/>
              <w:jc w:val="both"/>
              <w:rPr>
                <w:rFonts w:cstheme="minorHAnsi"/>
                <w:b/>
                <w:sz w:val="28"/>
                <w:szCs w:val="28"/>
                <w:u w:val="single"/>
              </w:rPr>
            </w:pPr>
            <w:proofErr w:type="gramStart"/>
            <w:r w:rsidRPr="00D36422">
              <w:rPr>
                <w:rFonts w:cstheme="minorHAnsi"/>
                <w:b/>
                <w:sz w:val="28"/>
                <w:szCs w:val="28"/>
                <w:u w:val="single"/>
              </w:rPr>
              <w:t>C.1 - Účetní</w:t>
            </w:r>
            <w:proofErr w:type="gramEnd"/>
            <w:r w:rsidRPr="00D36422">
              <w:rPr>
                <w:rFonts w:cstheme="minorHAnsi"/>
                <w:b/>
                <w:sz w:val="28"/>
                <w:szCs w:val="28"/>
                <w:u w:val="single"/>
              </w:rPr>
              <w:t xml:space="preserve"> metody</w:t>
            </w:r>
            <w:r w:rsidRPr="00203D3D">
              <w:rPr>
                <w:rFonts w:cstheme="minorHAnsi"/>
                <w:b/>
                <w:sz w:val="28"/>
                <w:szCs w:val="28"/>
              </w:rPr>
              <w:t xml:space="preserve"> </w:t>
            </w:r>
            <w:r w:rsidR="00203D3D" w:rsidRPr="00203D3D">
              <w:rPr>
                <w:rFonts w:cstheme="minorHAnsi"/>
                <w:b/>
                <w:sz w:val="28"/>
                <w:szCs w:val="28"/>
              </w:rPr>
              <w:t>– tato připomínka je zásadní</w:t>
            </w:r>
          </w:p>
          <w:p w:rsidR="00D36422" w:rsidRPr="00503EBB" w:rsidRDefault="00D36422" w:rsidP="00D36422">
            <w:pPr>
              <w:spacing w:after="0"/>
              <w:jc w:val="both"/>
              <w:rPr>
                <w:rFonts w:cstheme="minorHAnsi"/>
                <w:b/>
                <w:sz w:val="28"/>
                <w:szCs w:val="28"/>
              </w:rPr>
            </w:pPr>
            <w:r w:rsidRPr="0067453C">
              <w:rPr>
                <w:rFonts w:cstheme="minorHAnsi"/>
                <w:sz w:val="28"/>
                <w:szCs w:val="28"/>
              </w:rPr>
              <w:t>I v případě, že konkrétní účetní případ je upraven účetní metodou, měla by být zachována stávající možnost se od této metody odchýlit z důvodu věrného a poctivého obrazu předmětu účetnictví. (</w:t>
            </w:r>
            <w:r>
              <w:rPr>
                <w:rFonts w:cstheme="minorHAnsi"/>
                <w:sz w:val="28"/>
                <w:szCs w:val="28"/>
              </w:rPr>
              <w:t xml:space="preserve">jak nyní umožňuje </w:t>
            </w:r>
            <w:r w:rsidRPr="0067453C">
              <w:rPr>
                <w:rFonts w:cstheme="minorHAnsi"/>
                <w:sz w:val="28"/>
                <w:szCs w:val="28"/>
              </w:rPr>
              <w:t>stávající</w:t>
            </w:r>
            <w:r>
              <w:rPr>
                <w:rFonts w:cstheme="minorHAnsi"/>
                <w:sz w:val="28"/>
                <w:szCs w:val="28"/>
              </w:rPr>
              <w:t xml:space="preserve"> § </w:t>
            </w:r>
            <w:r w:rsidRPr="0067453C">
              <w:rPr>
                <w:rFonts w:cstheme="minorHAnsi"/>
                <w:sz w:val="28"/>
                <w:szCs w:val="28"/>
              </w:rPr>
              <w:t>7 odst</w:t>
            </w:r>
            <w:r>
              <w:rPr>
                <w:rFonts w:cstheme="minorHAnsi"/>
                <w:sz w:val="28"/>
                <w:szCs w:val="28"/>
              </w:rPr>
              <w:t>.</w:t>
            </w:r>
            <w:r w:rsidRPr="0067453C">
              <w:rPr>
                <w:rFonts w:cstheme="minorHAnsi"/>
                <w:sz w:val="28"/>
                <w:szCs w:val="28"/>
              </w:rPr>
              <w:t xml:space="preserve"> 2 zákona u účetnictví)</w:t>
            </w:r>
          </w:p>
        </w:tc>
        <w:tc>
          <w:tcPr>
            <w:tcW w:w="5727" w:type="dxa"/>
            <w:tcBorders>
              <w:top w:val="double" w:sz="4" w:space="0" w:color="auto"/>
              <w:bottom w:val="single" w:sz="4" w:space="0" w:color="auto"/>
            </w:tcBorders>
            <w:vAlign w:val="center"/>
          </w:tcPr>
          <w:p w:rsidR="00503EBB" w:rsidRPr="00503EBB" w:rsidRDefault="00503EBB" w:rsidP="00D36422">
            <w:pPr>
              <w:spacing w:after="0"/>
              <w:jc w:val="both"/>
              <w:rPr>
                <w:rFonts w:cstheme="minorHAnsi"/>
                <w:b/>
                <w:sz w:val="28"/>
                <w:szCs w:val="28"/>
              </w:rPr>
            </w:pPr>
          </w:p>
        </w:tc>
      </w:tr>
      <w:tr w:rsidR="00503EBB" w:rsidTr="00D36422">
        <w:tblPrEx>
          <w:tblCellMar>
            <w:top w:w="0" w:type="dxa"/>
            <w:bottom w:w="0" w:type="dxa"/>
          </w:tblCellMar>
        </w:tblPrEx>
        <w:trPr>
          <w:trHeight w:val="500"/>
          <w:jc w:val="center"/>
        </w:trPr>
        <w:tc>
          <w:tcPr>
            <w:tcW w:w="1413" w:type="dxa"/>
            <w:tcBorders>
              <w:top w:val="single" w:sz="4" w:space="0" w:color="auto"/>
              <w:bottom w:val="single" w:sz="4" w:space="0" w:color="auto"/>
            </w:tcBorders>
            <w:vAlign w:val="center"/>
          </w:tcPr>
          <w:p w:rsidR="00503EBB" w:rsidRPr="00503EBB" w:rsidRDefault="00503EBB" w:rsidP="00D36422">
            <w:pPr>
              <w:spacing w:after="0"/>
              <w:jc w:val="center"/>
              <w:rPr>
                <w:rFonts w:cstheme="minorHAnsi"/>
                <w:b/>
                <w:sz w:val="28"/>
                <w:szCs w:val="28"/>
              </w:rPr>
            </w:pPr>
            <w:r w:rsidRPr="00503EBB">
              <w:rPr>
                <w:rFonts w:cstheme="minorHAnsi"/>
                <w:b/>
                <w:sz w:val="28"/>
                <w:szCs w:val="28"/>
              </w:rPr>
              <w:t>2.</w:t>
            </w:r>
          </w:p>
        </w:tc>
        <w:tc>
          <w:tcPr>
            <w:tcW w:w="6662" w:type="dxa"/>
            <w:tcBorders>
              <w:top w:val="single" w:sz="4" w:space="0" w:color="auto"/>
              <w:bottom w:val="single" w:sz="4" w:space="0" w:color="auto"/>
            </w:tcBorders>
            <w:vAlign w:val="center"/>
          </w:tcPr>
          <w:p w:rsidR="00D36422" w:rsidRPr="00D36422" w:rsidRDefault="00D36422" w:rsidP="00D36422">
            <w:pPr>
              <w:jc w:val="both"/>
              <w:rPr>
                <w:rFonts w:cstheme="minorHAnsi"/>
                <w:b/>
                <w:sz w:val="28"/>
                <w:szCs w:val="28"/>
              </w:rPr>
            </w:pPr>
            <w:proofErr w:type="gramStart"/>
            <w:r w:rsidRPr="00D36422">
              <w:rPr>
                <w:rFonts w:cstheme="minorHAnsi"/>
                <w:b/>
                <w:sz w:val="28"/>
                <w:szCs w:val="28"/>
                <w:u w:val="single"/>
              </w:rPr>
              <w:t>C.3, I.1.V.2</w:t>
            </w:r>
            <w:r w:rsidRPr="00D36422">
              <w:rPr>
                <w:rFonts w:cstheme="minorHAnsi"/>
                <w:b/>
                <w:sz w:val="28"/>
                <w:szCs w:val="28"/>
              </w:rPr>
              <w:t xml:space="preserve"> a </w:t>
            </w:r>
            <w:r w:rsidRPr="00D36422">
              <w:rPr>
                <w:rFonts w:cstheme="minorHAnsi"/>
                <w:b/>
                <w:sz w:val="28"/>
                <w:szCs w:val="28"/>
                <w:u w:val="single"/>
              </w:rPr>
              <w:t>C.</w:t>
            </w:r>
            <w:proofErr w:type="gramEnd"/>
            <w:r w:rsidRPr="00D36422">
              <w:rPr>
                <w:rFonts w:cstheme="minorHAnsi"/>
                <w:b/>
                <w:sz w:val="28"/>
                <w:szCs w:val="28"/>
                <w:u w:val="single"/>
              </w:rPr>
              <w:t>3 I.1.VII.2</w:t>
            </w:r>
            <w:r w:rsidRPr="00D36422">
              <w:rPr>
                <w:rFonts w:cstheme="minorHAnsi"/>
                <w:b/>
                <w:sz w:val="28"/>
                <w:szCs w:val="28"/>
              </w:rPr>
              <w:t xml:space="preserve"> </w:t>
            </w:r>
            <w:r w:rsidR="00203D3D" w:rsidRPr="00203D3D">
              <w:rPr>
                <w:rFonts w:cstheme="minorHAnsi"/>
                <w:b/>
                <w:sz w:val="28"/>
                <w:szCs w:val="28"/>
              </w:rPr>
              <w:t>– tato připomínka je zásadní</w:t>
            </w:r>
          </w:p>
          <w:p w:rsidR="00503EBB" w:rsidRDefault="00D36422" w:rsidP="00D36422">
            <w:pPr>
              <w:spacing w:after="0"/>
              <w:jc w:val="both"/>
              <w:rPr>
                <w:rFonts w:cstheme="minorHAnsi"/>
                <w:sz w:val="28"/>
                <w:szCs w:val="28"/>
              </w:rPr>
            </w:pPr>
            <w:r w:rsidRPr="004E02E0">
              <w:rPr>
                <w:rFonts w:cstheme="minorHAnsi"/>
                <w:sz w:val="28"/>
                <w:szCs w:val="28"/>
              </w:rPr>
              <w:t>Podnikající fyzická osoba by měla mít možnost vést podvojné účetnictví i dobrovolně, a pokud jej vede, tak by neměla být zatěžována další administrativou ve formě daňové evidence, tj. není důvod nepoužít podvojné účetnictví pro účely plnění daňových povinností.</w:t>
            </w:r>
          </w:p>
          <w:p w:rsidR="00D36422" w:rsidRDefault="00D36422" w:rsidP="00D36422">
            <w:pPr>
              <w:spacing w:after="0"/>
              <w:jc w:val="both"/>
              <w:rPr>
                <w:rFonts w:cstheme="minorHAnsi"/>
                <w:sz w:val="28"/>
                <w:szCs w:val="28"/>
              </w:rPr>
            </w:pPr>
          </w:p>
          <w:p w:rsidR="00D36422" w:rsidRDefault="00D36422" w:rsidP="00D36422">
            <w:pPr>
              <w:spacing w:after="0"/>
              <w:jc w:val="both"/>
              <w:rPr>
                <w:rFonts w:cstheme="minorHAnsi"/>
                <w:sz w:val="28"/>
                <w:szCs w:val="28"/>
              </w:rPr>
            </w:pPr>
          </w:p>
          <w:p w:rsidR="00D36422" w:rsidRPr="00503EBB" w:rsidRDefault="00D36422" w:rsidP="00D36422">
            <w:pPr>
              <w:spacing w:after="0"/>
              <w:jc w:val="both"/>
              <w:rPr>
                <w:rFonts w:cstheme="minorHAnsi"/>
                <w:b/>
                <w:sz w:val="28"/>
                <w:szCs w:val="28"/>
              </w:rPr>
            </w:pPr>
          </w:p>
        </w:tc>
        <w:tc>
          <w:tcPr>
            <w:tcW w:w="5727" w:type="dxa"/>
            <w:tcBorders>
              <w:top w:val="single" w:sz="4" w:space="0" w:color="auto"/>
              <w:bottom w:val="single" w:sz="4" w:space="0" w:color="auto"/>
            </w:tcBorders>
            <w:vAlign w:val="center"/>
          </w:tcPr>
          <w:p w:rsidR="00D36422" w:rsidRPr="00D36422" w:rsidRDefault="00D36422" w:rsidP="00D36422">
            <w:pPr>
              <w:spacing w:before="100" w:beforeAutospacing="1" w:after="100" w:afterAutospacing="1"/>
              <w:jc w:val="both"/>
              <w:rPr>
                <w:rFonts w:cstheme="minorHAnsi"/>
                <w:i/>
                <w:sz w:val="28"/>
                <w:szCs w:val="28"/>
              </w:rPr>
            </w:pPr>
            <w:r w:rsidRPr="00D36422">
              <w:rPr>
                <w:rFonts w:cstheme="minorHAnsi"/>
                <w:i/>
                <w:sz w:val="28"/>
                <w:szCs w:val="28"/>
              </w:rPr>
              <w:t>Pozn.: jsme si vědomi, že tento problém by měl řešit především zákon o daních z příjmů, avšak s ohledem na avizované snižování administrativní zátěže podnikatelů považujeme tuto skutečnost za podstatnou i pro věcný záměr zákona o účetnictví</w:t>
            </w:r>
          </w:p>
          <w:p w:rsidR="00503EBB" w:rsidRPr="00503EBB" w:rsidRDefault="00503EBB" w:rsidP="00D36422">
            <w:pPr>
              <w:spacing w:after="0"/>
              <w:jc w:val="both"/>
              <w:rPr>
                <w:rFonts w:cstheme="minorHAnsi"/>
                <w:b/>
                <w:sz w:val="28"/>
                <w:szCs w:val="28"/>
              </w:rPr>
            </w:pPr>
          </w:p>
        </w:tc>
      </w:tr>
      <w:tr w:rsidR="00503EBB" w:rsidTr="00D36422">
        <w:tblPrEx>
          <w:tblCellMar>
            <w:top w:w="0" w:type="dxa"/>
            <w:bottom w:w="0" w:type="dxa"/>
          </w:tblCellMar>
        </w:tblPrEx>
        <w:trPr>
          <w:trHeight w:val="500"/>
          <w:jc w:val="center"/>
        </w:trPr>
        <w:tc>
          <w:tcPr>
            <w:tcW w:w="1413" w:type="dxa"/>
            <w:tcBorders>
              <w:top w:val="single" w:sz="4" w:space="0" w:color="auto"/>
              <w:bottom w:val="single" w:sz="4" w:space="0" w:color="auto"/>
            </w:tcBorders>
            <w:vAlign w:val="center"/>
          </w:tcPr>
          <w:p w:rsidR="00503EBB" w:rsidRPr="00503EBB" w:rsidRDefault="00503EBB" w:rsidP="00D36422">
            <w:pPr>
              <w:spacing w:after="0"/>
              <w:jc w:val="center"/>
              <w:rPr>
                <w:rFonts w:cstheme="minorHAnsi"/>
                <w:b/>
                <w:sz w:val="28"/>
                <w:szCs w:val="28"/>
              </w:rPr>
            </w:pPr>
            <w:r w:rsidRPr="00503EBB">
              <w:rPr>
                <w:rFonts w:cstheme="minorHAnsi"/>
                <w:b/>
                <w:sz w:val="28"/>
                <w:szCs w:val="28"/>
              </w:rPr>
              <w:lastRenderedPageBreak/>
              <w:t>3.</w:t>
            </w:r>
          </w:p>
        </w:tc>
        <w:tc>
          <w:tcPr>
            <w:tcW w:w="6662" w:type="dxa"/>
            <w:tcBorders>
              <w:top w:val="single" w:sz="4" w:space="0" w:color="auto"/>
              <w:bottom w:val="single" w:sz="4" w:space="0" w:color="auto"/>
            </w:tcBorders>
            <w:vAlign w:val="center"/>
          </w:tcPr>
          <w:p w:rsidR="00503EBB" w:rsidRDefault="00D36422" w:rsidP="00D36422">
            <w:pPr>
              <w:spacing w:after="0"/>
              <w:jc w:val="both"/>
              <w:rPr>
                <w:rFonts w:cstheme="minorHAnsi"/>
                <w:b/>
                <w:sz w:val="28"/>
                <w:szCs w:val="28"/>
                <w:u w:val="single"/>
              </w:rPr>
            </w:pPr>
            <w:proofErr w:type="gramStart"/>
            <w:r w:rsidRPr="00D36422">
              <w:rPr>
                <w:rFonts w:cstheme="minorHAnsi"/>
                <w:b/>
                <w:sz w:val="28"/>
                <w:szCs w:val="28"/>
                <w:u w:val="single"/>
              </w:rPr>
              <w:t>C.3 I.1.VII</w:t>
            </w:r>
            <w:proofErr w:type="gramEnd"/>
            <w:r w:rsidRPr="00D36422">
              <w:rPr>
                <w:rFonts w:cstheme="minorHAnsi"/>
                <w:b/>
                <w:sz w:val="28"/>
                <w:szCs w:val="28"/>
                <w:u w:val="single"/>
              </w:rPr>
              <w:t xml:space="preserve"> – k </w:t>
            </w:r>
            <w:proofErr w:type="spellStart"/>
            <w:r w:rsidRPr="00D36422">
              <w:rPr>
                <w:rFonts w:cstheme="minorHAnsi"/>
                <w:b/>
                <w:sz w:val="28"/>
                <w:szCs w:val="28"/>
                <w:u w:val="single"/>
              </w:rPr>
              <w:t>podbodu</w:t>
            </w:r>
            <w:proofErr w:type="spellEnd"/>
            <w:r w:rsidRPr="00D36422">
              <w:rPr>
                <w:rFonts w:cstheme="minorHAnsi"/>
                <w:b/>
                <w:sz w:val="28"/>
                <w:szCs w:val="28"/>
                <w:u w:val="single"/>
              </w:rPr>
              <w:t xml:space="preserve"> podvojného účetnictví</w:t>
            </w:r>
            <w:r w:rsidR="00203D3D">
              <w:rPr>
                <w:rFonts w:cstheme="minorHAnsi"/>
                <w:b/>
                <w:sz w:val="28"/>
                <w:szCs w:val="28"/>
                <w:u w:val="single"/>
              </w:rPr>
              <w:t xml:space="preserve"> </w:t>
            </w:r>
            <w:r w:rsidR="00203D3D" w:rsidRPr="00203D3D">
              <w:rPr>
                <w:rFonts w:cstheme="minorHAnsi"/>
                <w:b/>
                <w:sz w:val="28"/>
                <w:szCs w:val="28"/>
              </w:rPr>
              <w:t>– tato připomínka je zásadní</w:t>
            </w:r>
          </w:p>
          <w:p w:rsidR="00D36422" w:rsidRPr="00D36422" w:rsidRDefault="00D36422" w:rsidP="00D36422">
            <w:pPr>
              <w:spacing w:after="0"/>
              <w:jc w:val="both"/>
              <w:rPr>
                <w:rFonts w:cstheme="minorHAnsi"/>
                <w:b/>
                <w:i/>
                <w:sz w:val="28"/>
                <w:szCs w:val="28"/>
                <w:u w:val="single"/>
              </w:rPr>
            </w:pPr>
            <w:r>
              <w:rPr>
                <w:rFonts w:cstheme="minorHAnsi"/>
                <w:sz w:val="28"/>
                <w:szCs w:val="28"/>
              </w:rPr>
              <w:t xml:space="preserve">Navrhujeme </w:t>
            </w:r>
            <w:r w:rsidRPr="004B1E45">
              <w:rPr>
                <w:rFonts w:cstheme="minorHAnsi"/>
                <w:sz w:val="28"/>
                <w:szCs w:val="28"/>
              </w:rPr>
              <w:t xml:space="preserve">doplnit </w:t>
            </w:r>
            <w:r>
              <w:rPr>
                <w:rFonts w:cstheme="minorHAnsi"/>
                <w:sz w:val="28"/>
                <w:szCs w:val="28"/>
              </w:rPr>
              <w:t>větu:</w:t>
            </w:r>
            <w:r w:rsidRPr="004B1E45">
              <w:rPr>
                <w:rFonts w:cstheme="minorHAnsi"/>
                <w:sz w:val="28"/>
                <w:szCs w:val="28"/>
              </w:rPr>
              <w:t xml:space="preserve"> </w:t>
            </w:r>
            <w:r w:rsidRPr="00D36422">
              <w:rPr>
                <w:rFonts w:ascii="Arial" w:hAnsi="Arial" w:cs="Arial"/>
                <w:i/>
                <w:sz w:val="24"/>
                <w:szCs w:val="24"/>
              </w:rPr>
              <w:t>Platí, že tato zjednodušení nebo vedení hotovostního účetnictví nemusí využít, ale mohou vést podvojné účetnictví</w:t>
            </w:r>
            <w:r w:rsidRPr="00D36422">
              <w:rPr>
                <w:rFonts w:ascii="Arial" w:hAnsi="Arial" w:cs="Arial"/>
                <w:i/>
                <w:sz w:val="24"/>
                <w:szCs w:val="24"/>
              </w:rPr>
              <w:t>.</w:t>
            </w:r>
          </w:p>
        </w:tc>
        <w:tc>
          <w:tcPr>
            <w:tcW w:w="5727" w:type="dxa"/>
            <w:tcBorders>
              <w:top w:val="single" w:sz="4" w:space="0" w:color="auto"/>
              <w:bottom w:val="single" w:sz="4" w:space="0" w:color="auto"/>
            </w:tcBorders>
            <w:vAlign w:val="center"/>
          </w:tcPr>
          <w:p w:rsidR="00503EBB" w:rsidRPr="00503EBB" w:rsidRDefault="00503EBB" w:rsidP="00D36422">
            <w:pPr>
              <w:spacing w:after="0"/>
              <w:jc w:val="both"/>
              <w:rPr>
                <w:rFonts w:cstheme="minorHAnsi"/>
                <w:b/>
                <w:sz w:val="28"/>
                <w:szCs w:val="28"/>
              </w:rPr>
            </w:pPr>
          </w:p>
        </w:tc>
      </w:tr>
      <w:tr w:rsidR="00503EBB" w:rsidTr="00D36422">
        <w:tblPrEx>
          <w:tblCellMar>
            <w:top w:w="0" w:type="dxa"/>
            <w:bottom w:w="0" w:type="dxa"/>
          </w:tblCellMar>
        </w:tblPrEx>
        <w:trPr>
          <w:trHeight w:val="500"/>
          <w:jc w:val="center"/>
        </w:trPr>
        <w:tc>
          <w:tcPr>
            <w:tcW w:w="1413" w:type="dxa"/>
            <w:tcBorders>
              <w:top w:val="single" w:sz="4" w:space="0" w:color="auto"/>
              <w:bottom w:val="single" w:sz="4" w:space="0" w:color="auto"/>
            </w:tcBorders>
            <w:vAlign w:val="center"/>
          </w:tcPr>
          <w:p w:rsidR="00503EBB" w:rsidRPr="00503EBB" w:rsidRDefault="00503EBB" w:rsidP="00D36422">
            <w:pPr>
              <w:spacing w:after="0"/>
              <w:jc w:val="center"/>
              <w:rPr>
                <w:rFonts w:cstheme="minorHAnsi"/>
                <w:b/>
                <w:sz w:val="28"/>
                <w:szCs w:val="28"/>
              </w:rPr>
            </w:pPr>
            <w:r w:rsidRPr="00503EBB">
              <w:rPr>
                <w:rFonts w:cstheme="minorHAnsi"/>
                <w:b/>
                <w:sz w:val="28"/>
                <w:szCs w:val="28"/>
              </w:rPr>
              <w:t>4.</w:t>
            </w:r>
          </w:p>
        </w:tc>
        <w:tc>
          <w:tcPr>
            <w:tcW w:w="6662" w:type="dxa"/>
            <w:tcBorders>
              <w:top w:val="single" w:sz="4" w:space="0" w:color="auto"/>
              <w:bottom w:val="single" w:sz="4" w:space="0" w:color="auto"/>
            </w:tcBorders>
            <w:vAlign w:val="center"/>
          </w:tcPr>
          <w:p w:rsidR="00503EBB" w:rsidRPr="00203D3D" w:rsidRDefault="00203D3D" w:rsidP="00D36422">
            <w:pPr>
              <w:spacing w:after="0"/>
              <w:jc w:val="both"/>
              <w:rPr>
                <w:rFonts w:cstheme="minorHAnsi"/>
                <w:b/>
                <w:sz w:val="28"/>
                <w:szCs w:val="28"/>
                <w:u w:val="single"/>
              </w:rPr>
            </w:pPr>
            <w:proofErr w:type="gramStart"/>
            <w:r w:rsidRPr="00203D3D">
              <w:rPr>
                <w:rFonts w:cstheme="minorHAnsi"/>
                <w:b/>
                <w:sz w:val="28"/>
                <w:szCs w:val="28"/>
                <w:u w:val="single"/>
              </w:rPr>
              <w:t>C.3, I.1.VII</w:t>
            </w:r>
            <w:proofErr w:type="gramEnd"/>
            <w:r w:rsidRPr="00203D3D">
              <w:rPr>
                <w:rFonts w:cstheme="minorHAnsi"/>
                <w:b/>
                <w:sz w:val="28"/>
                <w:szCs w:val="28"/>
                <w:u w:val="single"/>
              </w:rPr>
              <w:t xml:space="preserve"> – k bodu hotovostní účetnictví</w:t>
            </w:r>
            <w:r>
              <w:rPr>
                <w:rFonts w:cstheme="minorHAnsi"/>
                <w:b/>
                <w:sz w:val="28"/>
                <w:szCs w:val="28"/>
                <w:u w:val="single"/>
              </w:rPr>
              <w:t xml:space="preserve"> </w:t>
            </w:r>
            <w:r w:rsidRPr="00203D3D">
              <w:rPr>
                <w:rFonts w:cstheme="minorHAnsi"/>
                <w:b/>
                <w:sz w:val="28"/>
                <w:szCs w:val="28"/>
              </w:rPr>
              <w:t>– tato připomínka je zásadní</w:t>
            </w:r>
          </w:p>
          <w:p w:rsidR="00203D3D" w:rsidRPr="00503EBB" w:rsidRDefault="00203D3D" w:rsidP="00D36422">
            <w:pPr>
              <w:spacing w:after="0"/>
              <w:jc w:val="both"/>
              <w:rPr>
                <w:rFonts w:cstheme="minorHAnsi"/>
                <w:b/>
                <w:sz w:val="28"/>
                <w:szCs w:val="28"/>
              </w:rPr>
            </w:pPr>
            <w:r>
              <w:rPr>
                <w:sz w:val="28"/>
                <w:szCs w:val="28"/>
              </w:rPr>
              <w:t>Doporučujeme, aby hotovostní účetnictví bylo využitelné pro daňové účely.</w:t>
            </w:r>
          </w:p>
        </w:tc>
        <w:tc>
          <w:tcPr>
            <w:tcW w:w="5727" w:type="dxa"/>
            <w:tcBorders>
              <w:top w:val="single" w:sz="4" w:space="0" w:color="auto"/>
              <w:bottom w:val="single" w:sz="4" w:space="0" w:color="auto"/>
            </w:tcBorders>
            <w:vAlign w:val="center"/>
          </w:tcPr>
          <w:p w:rsidR="00503EBB" w:rsidRPr="00503EBB" w:rsidRDefault="00203D3D" w:rsidP="00D36422">
            <w:pPr>
              <w:spacing w:after="0"/>
              <w:jc w:val="both"/>
              <w:rPr>
                <w:rFonts w:cstheme="minorHAnsi"/>
                <w:b/>
                <w:sz w:val="28"/>
                <w:szCs w:val="28"/>
              </w:rPr>
            </w:pPr>
            <w:r w:rsidRPr="004E02E0">
              <w:rPr>
                <w:sz w:val="28"/>
                <w:szCs w:val="28"/>
              </w:rPr>
              <w:t xml:space="preserve">Pokud věcný záměr zákona pracuje s pojmem hotovostní účetnictví, mělo by se jednat o účetnictví využitelné pro daňové účely a bylo by vhodné zrušit nedostatečně upravenou část zákona o daních z příjmů, která řeší problematiku daňové evidence, neboť </w:t>
            </w:r>
            <w:r>
              <w:rPr>
                <w:sz w:val="28"/>
                <w:szCs w:val="28"/>
              </w:rPr>
              <w:t>hotovostní</w:t>
            </w:r>
            <w:r w:rsidRPr="004E02E0">
              <w:rPr>
                <w:sz w:val="28"/>
                <w:szCs w:val="28"/>
              </w:rPr>
              <w:t xml:space="preserve"> účetnictví je schopno tuto evidenci kvalitně a přiměřeně nahradit. Je tedy nutné zajistit, aby </w:t>
            </w:r>
            <w:r>
              <w:rPr>
                <w:sz w:val="28"/>
                <w:szCs w:val="28"/>
              </w:rPr>
              <w:t>hotovostní</w:t>
            </w:r>
            <w:r w:rsidRPr="004E02E0">
              <w:rPr>
                <w:sz w:val="28"/>
                <w:szCs w:val="28"/>
              </w:rPr>
              <w:t xml:space="preserve"> účetnictví bylo podkladem pro výpočet základu daně z příjmů, aniž by docházelo k navyšování administrativní zátěže u podnikatelů prostřednictvím duplic</w:t>
            </w:r>
            <w:r w:rsidRPr="00E45586">
              <w:rPr>
                <w:sz w:val="28"/>
                <w:szCs w:val="28"/>
              </w:rPr>
              <w:t>itního vedení obdobných evidencí, jako je daňová evidence.</w:t>
            </w:r>
          </w:p>
        </w:tc>
      </w:tr>
      <w:tr w:rsidR="00503EBB" w:rsidTr="00D36422">
        <w:tblPrEx>
          <w:tblCellMar>
            <w:top w:w="0" w:type="dxa"/>
            <w:bottom w:w="0" w:type="dxa"/>
          </w:tblCellMar>
        </w:tblPrEx>
        <w:trPr>
          <w:trHeight w:val="500"/>
          <w:jc w:val="center"/>
        </w:trPr>
        <w:tc>
          <w:tcPr>
            <w:tcW w:w="1413" w:type="dxa"/>
            <w:tcBorders>
              <w:top w:val="single" w:sz="4" w:space="0" w:color="auto"/>
              <w:bottom w:val="single" w:sz="4" w:space="0" w:color="auto"/>
            </w:tcBorders>
            <w:vAlign w:val="center"/>
          </w:tcPr>
          <w:p w:rsidR="00503EBB" w:rsidRPr="00503EBB" w:rsidRDefault="00503EBB" w:rsidP="00D36422">
            <w:pPr>
              <w:spacing w:after="0"/>
              <w:jc w:val="center"/>
              <w:rPr>
                <w:rFonts w:cstheme="minorHAnsi"/>
                <w:b/>
                <w:sz w:val="28"/>
                <w:szCs w:val="28"/>
              </w:rPr>
            </w:pPr>
            <w:r w:rsidRPr="00503EBB">
              <w:rPr>
                <w:rFonts w:cstheme="minorHAnsi"/>
                <w:b/>
                <w:sz w:val="28"/>
                <w:szCs w:val="28"/>
              </w:rPr>
              <w:t>5.</w:t>
            </w:r>
          </w:p>
        </w:tc>
        <w:tc>
          <w:tcPr>
            <w:tcW w:w="6662" w:type="dxa"/>
            <w:tcBorders>
              <w:top w:val="single" w:sz="4" w:space="0" w:color="auto"/>
              <w:bottom w:val="single" w:sz="4" w:space="0" w:color="auto"/>
            </w:tcBorders>
            <w:vAlign w:val="center"/>
          </w:tcPr>
          <w:p w:rsidR="00503EBB" w:rsidRDefault="00203D3D" w:rsidP="00D36422">
            <w:pPr>
              <w:spacing w:after="0"/>
              <w:jc w:val="both"/>
              <w:rPr>
                <w:rFonts w:eastAsia="Calibri"/>
                <w:b/>
                <w:sz w:val="28"/>
                <w:szCs w:val="28"/>
                <w:u w:val="single"/>
              </w:rPr>
            </w:pPr>
            <w:proofErr w:type="gramStart"/>
            <w:r>
              <w:rPr>
                <w:rFonts w:eastAsia="Calibri"/>
                <w:b/>
                <w:sz w:val="28"/>
                <w:szCs w:val="28"/>
                <w:u w:val="single"/>
              </w:rPr>
              <w:t>C.3, I. 1. VIII</w:t>
            </w:r>
            <w:proofErr w:type="gramEnd"/>
            <w:r w:rsidRPr="00203D3D">
              <w:rPr>
                <w:rFonts w:eastAsia="Calibri"/>
                <w:b/>
                <w:sz w:val="28"/>
                <w:szCs w:val="28"/>
                <w:u w:val="single"/>
              </w:rPr>
              <w:t>. </w:t>
            </w:r>
            <w:r>
              <w:rPr>
                <w:rFonts w:eastAsia="Calibri"/>
                <w:b/>
                <w:sz w:val="28"/>
                <w:szCs w:val="28"/>
                <w:u w:val="single"/>
              </w:rPr>
              <w:t>(</w:t>
            </w:r>
            <w:r w:rsidRPr="00203D3D">
              <w:rPr>
                <w:rFonts w:eastAsia="Calibri"/>
                <w:b/>
                <w:sz w:val="28"/>
                <w:szCs w:val="28"/>
                <w:u w:val="single"/>
              </w:rPr>
              <w:t>Použití mezinárodních účetních standardů</w:t>
            </w:r>
            <w:r>
              <w:rPr>
                <w:rFonts w:eastAsia="Calibri"/>
                <w:b/>
                <w:sz w:val="28"/>
                <w:szCs w:val="28"/>
                <w:u w:val="single"/>
              </w:rPr>
              <w:t xml:space="preserve">) </w:t>
            </w:r>
            <w:r w:rsidRPr="00203D3D">
              <w:rPr>
                <w:rFonts w:cstheme="minorHAnsi"/>
                <w:b/>
                <w:sz w:val="28"/>
                <w:szCs w:val="28"/>
              </w:rPr>
              <w:t>– tato připomínka je zásadní</w:t>
            </w:r>
          </w:p>
          <w:p w:rsidR="00203D3D" w:rsidRPr="00203D3D" w:rsidRDefault="00203D3D" w:rsidP="00D36422">
            <w:pPr>
              <w:spacing w:after="0"/>
              <w:jc w:val="both"/>
              <w:rPr>
                <w:rFonts w:cstheme="minorHAnsi"/>
                <w:sz w:val="28"/>
                <w:szCs w:val="28"/>
              </w:rPr>
            </w:pPr>
            <w:r w:rsidRPr="0067453C">
              <w:rPr>
                <w:rFonts w:cstheme="minorHAnsi"/>
                <w:sz w:val="28"/>
                <w:szCs w:val="28"/>
              </w:rPr>
              <w:t xml:space="preserve">Na možnost použití mezinárodních účetních standardů by měly důsledně navazovat daňové předpisy, především pro daň z příjmů právnických osob a nenavyšovat </w:t>
            </w:r>
            <w:r w:rsidRPr="0067453C">
              <w:rPr>
                <w:rFonts w:cstheme="minorHAnsi"/>
                <w:sz w:val="28"/>
                <w:szCs w:val="28"/>
              </w:rPr>
              <w:lastRenderedPageBreak/>
              <w:t>administrativní zátěž daňových subjektů tím, že pro účely daně z příjmu nebude možné výstupy z účetnictví vedeného podle mezinárodních účetních standardů použít.</w:t>
            </w:r>
          </w:p>
        </w:tc>
        <w:tc>
          <w:tcPr>
            <w:tcW w:w="5727" w:type="dxa"/>
            <w:tcBorders>
              <w:top w:val="single" w:sz="4" w:space="0" w:color="auto"/>
              <w:bottom w:val="single" w:sz="4" w:space="0" w:color="auto"/>
            </w:tcBorders>
            <w:vAlign w:val="center"/>
          </w:tcPr>
          <w:p w:rsidR="00503EBB" w:rsidRPr="00503EBB" w:rsidRDefault="00503EBB" w:rsidP="00D36422">
            <w:pPr>
              <w:spacing w:after="0"/>
              <w:jc w:val="both"/>
              <w:rPr>
                <w:rFonts w:cstheme="minorHAnsi"/>
                <w:b/>
                <w:sz w:val="28"/>
                <w:szCs w:val="28"/>
              </w:rPr>
            </w:pPr>
          </w:p>
        </w:tc>
      </w:tr>
      <w:tr w:rsidR="00503EBB" w:rsidTr="00D36422">
        <w:tblPrEx>
          <w:tblCellMar>
            <w:top w:w="0" w:type="dxa"/>
            <w:bottom w:w="0" w:type="dxa"/>
          </w:tblCellMar>
        </w:tblPrEx>
        <w:trPr>
          <w:trHeight w:val="500"/>
          <w:jc w:val="center"/>
        </w:trPr>
        <w:tc>
          <w:tcPr>
            <w:tcW w:w="1413" w:type="dxa"/>
            <w:tcBorders>
              <w:top w:val="single" w:sz="4" w:space="0" w:color="auto"/>
              <w:bottom w:val="single" w:sz="4" w:space="0" w:color="auto"/>
            </w:tcBorders>
            <w:vAlign w:val="center"/>
          </w:tcPr>
          <w:p w:rsidR="00503EBB" w:rsidRPr="00503EBB" w:rsidRDefault="00503EBB" w:rsidP="00D36422">
            <w:pPr>
              <w:spacing w:after="0"/>
              <w:jc w:val="center"/>
              <w:rPr>
                <w:rFonts w:cstheme="minorHAnsi"/>
                <w:b/>
                <w:sz w:val="28"/>
                <w:szCs w:val="28"/>
              </w:rPr>
            </w:pPr>
            <w:r w:rsidRPr="00503EBB">
              <w:rPr>
                <w:rFonts w:cstheme="minorHAnsi"/>
                <w:b/>
                <w:sz w:val="28"/>
                <w:szCs w:val="28"/>
              </w:rPr>
              <w:t>6.</w:t>
            </w:r>
          </w:p>
        </w:tc>
        <w:tc>
          <w:tcPr>
            <w:tcW w:w="6662" w:type="dxa"/>
            <w:tcBorders>
              <w:top w:val="single" w:sz="4" w:space="0" w:color="auto"/>
              <w:bottom w:val="single" w:sz="4" w:space="0" w:color="auto"/>
            </w:tcBorders>
            <w:vAlign w:val="center"/>
          </w:tcPr>
          <w:p w:rsidR="00503EBB" w:rsidRDefault="00203D3D" w:rsidP="00D36422">
            <w:pPr>
              <w:spacing w:after="0"/>
              <w:jc w:val="both"/>
              <w:rPr>
                <w:b/>
                <w:sz w:val="28"/>
                <w:u w:val="single"/>
              </w:rPr>
            </w:pPr>
            <w:r w:rsidRPr="00203D3D">
              <w:rPr>
                <w:b/>
                <w:sz w:val="28"/>
                <w:u w:val="single"/>
              </w:rPr>
              <w:t xml:space="preserve">C.3, </w:t>
            </w:r>
            <w:proofErr w:type="gramStart"/>
            <w:r w:rsidRPr="00203D3D">
              <w:rPr>
                <w:b/>
                <w:sz w:val="28"/>
                <w:u w:val="single"/>
              </w:rPr>
              <w:t>IV.5 (Inventarizace</w:t>
            </w:r>
            <w:proofErr w:type="gramEnd"/>
            <w:r w:rsidRPr="00203D3D">
              <w:rPr>
                <w:b/>
                <w:sz w:val="28"/>
                <w:u w:val="single"/>
              </w:rPr>
              <w:t xml:space="preserve"> majetku)</w:t>
            </w:r>
            <w:r>
              <w:rPr>
                <w:b/>
                <w:sz w:val="28"/>
                <w:u w:val="single"/>
              </w:rPr>
              <w:t xml:space="preserve"> </w:t>
            </w:r>
            <w:r w:rsidRPr="00203D3D">
              <w:rPr>
                <w:rFonts w:cstheme="minorHAnsi"/>
                <w:b/>
                <w:sz w:val="28"/>
                <w:szCs w:val="28"/>
              </w:rPr>
              <w:t>– tato připomínka je zásadní</w:t>
            </w:r>
          </w:p>
          <w:p w:rsidR="00203D3D" w:rsidRPr="00203D3D" w:rsidRDefault="00203D3D" w:rsidP="00D36422">
            <w:pPr>
              <w:spacing w:after="0"/>
              <w:jc w:val="both"/>
              <w:rPr>
                <w:rFonts w:cstheme="minorHAnsi"/>
                <w:b/>
                <w:sz w:val="28"/>
                <w:szCs w:val="28"/>
                <w:u w:val="single"/>
              </w:rPr>
            </w:pPr>
            <w:r w:rsidRPr="00621CC9">
              <w:rPr>
                <w:sz w:val="28"/>
                <w:szCs w:val="28"/>
              </w:rPr>
              <w:t>Souhlasíme s vhodností prováděcí vyhlášky, která bude komplexně řešit problematiku inventarizací. Bylo by však vhodné odlišit rozsah povinností podle typu účetních jednotek, neboť automatické uplatnění povinností vybraných účetních jednotek, především státu na podnikatelské subjekty by nebyl zcela vhodný.</w:t>
            </w:r>
          </w:p>
        </w:tc>
        <w:tc>
          <w:tcPr>
            <w:tcW w:w="5727" w:type="dxa"/>
            <w:tcBorders>
              <w:top w:val="single" w:sz="4" w:space="0" w:color="auto"/>
              <w:bottom w:val="single" w:sz="4" w:space="0" w:color="auto"/>
            </w:tcBorders>
            <w:vAlign w:val="center"/>
          </w:tcPr>
          <w:p w:rsidR="00503EBB" w:rsidRPr="00503EBB" w:rsidRDefault="00503EBB" w:rsidP="00D36422">
            <w:pPr>
              <w:spacing w:after="0"/>
              <w:jc w:val="both"/>
              <w:rPr>
                <w:rFonts w:cstheme="minorHAnsi"/>
                <w:b/>
                <w:sz w:val="28"/>
                <w:szCs w:val="28"/>
              </w:rPr>
            </w:pPr>
          </w:p>
        </w:tc>
      </w:tr>
      <w:tr w:rsidR="00503EBB" w:rsidTr="00D36422">
        <w:tblPrEx>
          <w:tblCellMar>
            <w:top w:w="0" w:type="dxa"/>
            <w:bottom w:w="0" w:type="dxa"/>
          </w:tblCellMar>
        </w:tblPrEx>
        <w:trPr>
          <w:trHeight w:val="500"/>
          <w:jc w:val="center"/>
        </w:trPr>
        <w:tc>
          <w:tcPr>
            <w:tcW w:w="1413" w:type="dxa"/>
            <w:tcBorders>
              <w:top w:val="single" w:sz="4" w:space="0" w:color="auto"/>
            </w:tcBorders>
            <w:vAlign w:val="center"/>
          </w:tcPr>
          <w:p w:rsidR="00503EBB" w:rsidRPr="00503EBB" w:rsidRDefault="00503EBB" w:rsidP="00D36422">
            <w:pPr>
              <w:spacing w:after="0"/>
              <w:jc w:val="center"/>
              <w:rPr>
                <w:rFonts w:cstheme="minorHAnsi"/>
                <w:b/>
                <w:sz w:val="28"/>
                <w:szCs w:val="28"/>
              </w:rPr>
            </w:pPr>
            <w:r w:rsidRPr="00503EBB">
              <w:rPr>
                <w:rFonts w:cstheme="minorHAnsi"/>
                <w:b/>
                <w:sz w:val="28"/>
                <w:szCs w:val="28"/>
              </w:rPr>
              <w:t>7.</w:t>
            </w:r>
          </w:p>
        </w:tc>
        <w:tc>
          <w:tcPr>
            <w:tcW w:w="6662" w:type="dxa"/>
            <w:tcBorders>
              <w:top w:val="single" w:sz="4" w:space="0" w:color="auto"/>
            </w:tcBorders>
            <w:vAlign w:val="center"/>
          </w:tcPr>
          <w:p w:rsidR="00503EBB" w:rsidRDefault="00203D3D" w:rsidP="00D36422">
            <w:pPr>
              <w:spacing w:after="0"/>
              <w:jc w:val="both"/>
              <w:rPr>
                <w:b/>
                <w:sz w:val="28"/>
                <w:szCs w:val="28"/>
                <w:u w:val="single"/>
              </w:rPr>
            </w:pPr>
            <w:proofErr w:type="gramStart"/>
            <w:r w:rsidRPr="00203D3D">
              <w:rPr>
                <w:b/>
                <w:sz w:val="28"/>
                <w:szCs w:val="28"/>
                <w:u w:val="single"/>
              </w:rPr>
              <w:t>C3., I.4 (Vymezení</w:t>
            </w:r>
            <w:proofErr w:type="gramEnd"/>
            <w:r w:rsidRPr="00203D3D">
              <w:rPr>
                <w:b/>
                <w:sz w:val="28"/>
                <w:szCs w:val="28"/>
                <w:u w:val="single"/>
              </w:rPr>
              <w:t xml:space="preserve"> prvků účetní závěrky)</w:t>
            </w:r>
            <w:r>
              <w:rPr>
                <w:b/>
                <w:sz w:val="28"/>
                <w:szCs w:val="28"/>
                <w:u w:val="single"/>
              </w:rPr>
              <w:t xml:space="preserve"> </w:t>
            </w:r>
            <w:r w:rsidRPr="00203D3D">
              <w:rPr>
                <w:rFonts w:cstheme="minorHAnsi"/>
                <w:b/>
                <w:sz w:val="28"/>
                <w:szCs w:val="28"/>
              </w:rPr>
              <w:t>– tato připomínka je zásadní</w:t>
            </w:r>
          </w:p>
          <w:p w:rsidR="00203D3D" w:rsidRPr="00203D3D" w:rsidRDefault="00203D3D" w:rsidP="00D36422">
            <w:pPr>
              <w:spacing w:after="0"/>
              <w:jc w:val="both"/>
              <w:rPr>
                <w:rFonts w:cstheme="minorHAnsi"/>
                <w:b/>
                <w:sz w:val="28"/>
                <w:szCs w:val="28"/>
                <w:u w:val="single"/>
              </w:rPr>
            </w:pPr>
            <w:r w:rsidRPr="00B914E8">
              <w:rPr>
                <w:sz w:val="28"/>
              </w:rPr>
              <w:t>Výslovně by měly být odlišeny</w:t>
            </w:r>
            <w:r>
              <w:rPr>
                <w:sz w:val="28"/>
              </w:rPr>
              <w:t xml:space="preserve"> a definovány</w:t>
            </w:r>
            <w:r w:rsidRPr="00B914E8">
              <w:rPr>
                <w:sz w:val="28"/>
              </w:rPr>
              <w:t xml:space="preserve"> pojmy dluh a závazek a cizí zdroje, přičemž případné odlišení těchto pojmů od jejich významu v jiných obecně závazných právních předpisech, především občanském zákoníku, pokud k němu dojde, by mělo být důsledně minimalizováno a dostatečně odůvodněno. Dále je nezbytné zajistit nezaměňování těchto pojmů v účetních předpisech.</w:t>
            </w:r>
          </w:p>
        </w:tc>
        <w:tc>
          <w:tcPr>
            <w:tcW w:w="5727" w:type="dxa"/>
            <w:tcBorders>
              <w:top w:val="single" w:sz="4" w:space="0" w:color="auto"/>
            </w:tcBorders>
            <w:vAlign w:val="center"/>
          </w:tcPr>
          <w:p w:rsidR="00503EBB" w:rsidRPr="00503EBB" w:rsidRDefault="00503EBB" w:rsidP="00D36422">
            <w:pPr>
              <w:spacing w:after="0"/>
              <w:jc w:val="both"/>
              <w:rPr>
                <w:rFonts w:cstheme="minorHAnsi"/>
                <w:b/>
                <w:sz w:val="28"/>
                <w:szCs w:val="28"/>
              </w:rPr>
            </w:pPr>
          </w:p>
        </w:tc>
      </w:tr>
      <w:tr w:rsidR="00503EBB" w:rsidTr="00D36422">
        <w:tblPrEx>
          <w:tblCellMar>
            <w:top w:w="0" w:type="dxa"/>
            <w:bottom w:w="0" w:type="dxa"/>
          </w:tblCellMar>
        </w:tblPrEx>
        <w:trPr>
          <w:trHeight w:val="500"/>
          <w:jc w:val="center"/>
        </w:trPr>
        <w:tc>
          <w:tcPr>
            <w:tcW w:w="1413" w:type="dxa"/>
            <w:tcBorders>
              <w:top w:val="single" w:sz="4" w:space="0" w:color="auto"/>
            </w:tcBorders>
            <w:vAlign w:val="center"/>
          </w:tcPr>
          <w:p w:rsidR="00503EBB" w:rsidRPr="00503EBB" w:rsidRDefault="00503EBB" w:rsidP="00D36422">
            <w:pPr>
              <w:spacing w:after="0"/>
              <w:jc w:val="center"/>
              <w:rPr>
                <w:rFonts w:cstheme="minorHAnsi"/>
                <w:b/>
                <w:sz w:val="28"/>
                <w:szCs w:val="28"/>
              </w:rPr>
            </w:pPr>
            <w:r w:rsidRPr="00503EBB">
              <w:rPr>
                <w:rFonts w:cstheme="minorHAnsi"/>
                <w:b/>
                <w:sz w:val="28"/>
                <w:szCs w:val="28"/>
              </w:rPr>
              <w:lastRenderedPageBreak/>
              <w:t>8.</w:t>
            </w:r>
          </w:p>
        </w:tc>
        <w:tc>
          <w:tcPr>
            <w:tcW w:w="6662" w:type="dxa"/>
            <w:tcBorders>
              <w:top w:val="single" w:sz="4" w:space="0" w:color="auto"/>
            </w:tcBorders>
            <w:vAlign w:val="center"/>
          </w:tcPr>
          <w:p w:rsidR="00503EBB" w:rsidRDefault="00203D3D" w:rsidP="00D36422">
            <w:pPr>
              <w:spacing w:after="0"/>
              <w:jc w:val="both"/>
              <w:rPr>
                <w:b/>
                <w:sz w:val="28"/>
                <w:szCs w:val="28"/>
                <w:u w:val="single"/>
              </w:rPr>
            </w:pPr>
            <w:proofErr w:type="gramStart"/>
            <w:r w:rsidRPr="00203D3D">
              <w:rPr>
                <w:b/>
                <w:sz w:val="28"/>
                <w:szCs w:val="28"/>
                <w:u w:val="single"/>
              </w:rPr>
              <w:t>C.3, IV</w:t>
            </w:r>
            <w:proofErr w:type="gramEnd"/>
            <w:r w:rsidRPr="00203D3D">
              <w:rPr>
                <w:b/>
                <w:sz w:val="28"/>
                <w:szCs w:val="28"/>
                <w:u w:val="single"/>
              </w:rPr>
              <w:t>.4</w:t>
            </w:r>
            <w:r>
              <w:rPr>
                <w:b/>
                <w:sz w:val="28"/>
                <w:szCs w:val="28"/>
                <w:u w:val="single"/>
              </w:rPr>
              <w:t xml:space="preserve"> </w:t>
            </w:r>
            <w:r w:rsidRPr="00203D3D">
              <w:rPr>
                <w:rFonts w:cstheme="minorHAnsi"/>
                <w:b/>
                <w:sz w:val="28"/>
                <w:szCs w:val="28"/>
              </w:rPr>
              <w:t>– tato připomínka je zásadní</w:t>
            </w:r>
          </w:p>
          <w:p w:rsidR="00203D3D" w:rsidRPr="00203D3D" w:rsidRDefault="00203D3D" w:rsidP="00D36422">
            <w:pPr>
              <w:spacing w:after="0"/>
              <w:jc w:val="both"/>
              <w:rPr>
                <w:rFonts w:cstheme="minorHAnsi"/>
                <w:b/>
                <w:sz w:val="28"/>
                <w:szCs w:val="28"/>
                <w:u w:val="single"/>
              </w:rPr>
            </w:pPr>
            <w:r w:rsidRPr="00B914E8">
              <w:rPr>
                <w:sz w:val="28"/>
                <w:szCs w:val="28"/>
              </w:rPr>
              <w:t>Věcný záměr by měl obsahovat cíle a rozsah užívání podrozvahové evidence</w:t>
            </w:r>
            <w:r>
              <w:rPr>
                <w:sz w:val="28"/>
                <w:szCs w:val="28"/>
              </w:rPr>
              <w:t xml:space="preserve"> (když sám pracuje s pojmy podrozvahové účty). Doporučujeme doplnit toto do věcného záměru.</w:t>
            </w:r>
          </w:p>
        </w:tc>
        <w:tc>
          <w:tcPr>
            <w:tcW w:w="5727" w:type="dxa"/>
            <w:tcBorders>
              <w:top w:val="single" w:sz="4" w:space="0" w:color="auto"/>
            </w:tcBorders>
            <w:vAlign w:val="center"/>
          </w:tcPr>
          <w:p w:rsidR="00503EBB" w:rsidRPr="00503EBB" w:rsidRDefault="00503EBB" w:rsidP="00D36422">
            <w:pPr>
              <w:spacing w:after="0"/>
              <w:jc w:val="both"/>
              <w:rPr>
                <w:rFonts w:cstheme="minorHAnsi"/>
                <w:b/>
                <w:sz w:val="28"/>
                <w:szCs w:val="28"/>
              </w:rPr>
            </w:pPr>
          </w:p>
        </w:tc>
      </w:tr>
      <w:tr w:rsidR="00503EBB" w:rsidTr="00D36422">
        <w:tblPrEx>
          <w:tblCellMar>
            <w:top w:w="0" w:type="dxa"/>
            <w:bottom w:w="0" w:type="dxa"/>
          </w:tblCellMar>
        </w:tblPrEx>
        <w:trPr>
          <w:trHeight w:val="500"/>
          <w:jc w:val="center"/>
        </w:trPr>
        <w:tc>
          <w:tcPr>
            <w:tcW w:w="1413" w:type="dxa"/>
            <w:tcBorders>
              <w:top w:val="single" w:sz="4" w:space="0" w:color="auto"/>
            </w:tcBorders>
            <w:vAlign w:val="center"/>
          </w:tcPr>
          <w:p w:rsidR="00503EBB" w:rsidRPr="00503EBB" w:rsidRDefault="00503EBB" w:rsidP="00D36422">
            <w:pPr>
              <w:spacing w:after="0"/>
              <w:jc w:val="center"/>
              <w:rPr>
                <w:rFonts w:cstheme="minorHAnsi"/>
                <w:b/>
                <w:sz w:val="28"/>
                <w:szCs w:val="28"/>
              </w:rPr>
            </w:pPr>
            <w:r w:rsidRPr="00503EBB">
              <w:rPr>
                <w:rFonts w:cstheme="minorHAnsi"/>
                <w:b/>
                <w:sz w:val="28"/>
                <w:szCs w:val="28"/>
              </w:rPr>
              <w:t>9.</w:t>
            </w:r>
          </w:p>
        </w:tc>
        <w:tc>
          <w:tcPr>
            <w:tcW w:w="6662" w:type="dxa"/>
            <w:tcBorders>
              <w:top w:val="single" w:sz="4" w:space="0" w:color="auto"/>
            </w:tcBorders>
            <w:vAlign w:val="center"/>
          </w:tcPr>
          <w:p w:rsidR="00503EBB" w:rsidRDefault="00203D3D" w:rsidP="00203D3D">
            <w:pPr>
              <w:spacing w:after="0"/>
              <w:jc w:val="both"/>
              <w:rPr>
                <w:b/>
                <w:sz w:val="28"/>
                <w:u w:val="single"/>
              </w:rPr>
            </w:pPr>
            <w:proofErr w:type="gramStart"/>
            <w:r w:rsidRPr="00203D3D">
              <w:rPr>
                <w:b/>
                <w:sz w:val="28"/>
                <w:u w:val="single"/>
              </w:rPr>
              <w:t>C.3, IV</w:t>
            </w:r>
            <w:proofErr w:type="gramEnd"/>
            <w:r w:rsidRPr="00203D3D">
              <w:rPr>
                <w:b/>
                <w:sz w:val="28"/>
                <w:u w:val="single"/>
              </w:rPr>
              <w:t>.4.III</w:t>
            </w:r>
            <w:r w:rsidRPr="00203D3D">
              <w:rPr>
                <w:sz w:val="28"/>
                <w:u w:val="single"/>
              </w:rPr>
              <w:t xml:space="preserve"> </w:t>
            </w:r>
            <w:r w:rsidRPr="00203D3D">
              <w:rPr>
                <w:sz w:val="28"/>
                <w:u w:val="single"/>
              </w:rPr>
              <w:t>(</w:t>
            </w:r>
            <w:r w:rsidRPr="00203D3D">
              <w:rPr>
                <w:b/>
                <w:sz w:val="28"/>
                <w:u w:val="single"/>
              </w:rPr>
              <w:t>Ú</w:t>
            </w:r>
            <w:r w:rsidRPr="00203D3D">
              <w:rPr>
                <w:b/>
                <w:sz w:val="28"/>
                <w:u w:val="single"/>
              </w:rPr>
              <w:t>čtová osnova a účtový rozvrh</w:t>
            </w:r>
            <w:r w:rsidRPr="00203D3D">
              <w:rPr>
                <w:b/>
                <w:sz w:val="28"/>
                <w:u w:val="single"/>
              </w:rPr>
              <w:t>)</w:t>
            </w:r>
            <w:r>
              <w:rPr>
                <w:b/>
                <w:sz w:val="28"/>
                <w:u w:val="single"/>
              </w:rPr>
              <w:t xml:space="preserve"> </w:t>
            </w:r>
            <w:r w:rsidRPr="00203D3D">
              <w:rPr>
                <w:rFonts w:cstheme="minorHAnsi"/>
                <w:b/>
                <w:sz w:val="28"/>
                <w:szCs w:val="28"/>
              </w:rPr>
              <w:t>– tato připomínka je zásadní</w:t>
            </w:r>
          </w:p>
          <w:p w:rsidR="00203D3D" w:rsidRPr="00203D3D" w:rsidRDefault="00203D3D" w:rsidP="00203D3D">
            <w:pPr>
              <w:spacing w:before="100" w:beforeAutospacing="1" w:after="100" w:afterAutospacing="1"/>
              <w:jc w:val="both"/>
              <w:rPr>
                <w:sz w:val="28"/>
              </w:rPr>
            </w:pPr>
            <w:r w:rsidRPr="00203D3D">
              <w:rPr>
                <w:sz w:val="28"/>
              </w:rPr>
              <w:t xml:space="preserve">Doporučujeme tyto varianty vypustit, protože druhá varianta není textově konzistentní. </w:t>
            </w:r>
          </w:p>
          <w:p w:rsidR="00203D3D" w:rsidRPr="00203D3D" w:rsidRDefault="00203D3D" w:rsidP="00203D3D">
            <w:pPr>
              <w:spacing w:after="0"/>
              <w:jc w:val="both"/>
              <w:rPr>
                <w:rFonts w:cstheme="minorHAnsi"/>
                <w:b/>
                <w:sz w:val="28"/>
                <w:szCs w:val="28"/>
                <w:u w:val="single"/>
              </w:rPr>
            </w:pPr>
            <w:r>
              <w:rPr>
                <w:sz w:val="28"/>
              </w:rPr>
              <w:t xml:space="preserve">Do úvodu </w:t>
            </w:r>
            <w:proofErr w:type="spellStart"/>
            <w:r>
              <w:rPr>
                <w:sz w:val="28"/>
              </w:rPr>
              <w:t>podbodu</w:t>
            </w:r>
            <w:proofErr w:type="spellEnd"/>
            <w:r>
              <w:rPr>
                <w:sz w:val="28"/>
              </w:rPr>
              <w:t xml:space="preserve"> doplnit: </w:t>
            </w:r>
            <w:r w:rsidRPr="00203D3D">
              <w:rPr>
                <w:i/>
                <w:sz w:val="28"/>
              </w:rPr>
              <w:t>„Tento postup se předpokládá použít i nadále, přičemž budou odlišeny subjekty veřejného zájmu a ostatní účetní jednotky.“</w:t>
            </w:r>
          </w:p>
        </w:tc>
        <w:tc>
          <w:tcPr>
            <w:tcW w:w="5727" w:type="dxa"/>
            <w:tcBorders>
              <w:top w:val="single" w:sz="4" w:space="0" w:color="auto"/>
            </w:tcBorders>
            <w:vAlign w:val="center"/>
          </w:tcPr>
          <w:p w:rsidR="00503EBB" w:rsidRPr="00503EBB" w:rsidRDefault="00503EBB" w:rsidP="00D36422">
            <w:pPr>
              <w:spacing w:after="0"/>
              <w:jc w:val="both"/>
              <w:rPr>
                <w:rFonts w:cstheme="minorHAnsi"/>
                <w:b/>
                <w:sz w:val="28"/>
                <w:szCs w:val="28"/>
              </w:rPr>
            </w:pPr>
          </w:p>
        </w:tc>
      </w:tr>
      <w:tr w:rsidR="00503EBB" w:rsidTr="00D36422">
        <w:tblPrEx>
          <w:tblCellMar>
            <w:top w:w="0" w:type="dxa"/>
            <w:bottom w:w="0" w:type="dxa"/>
          </w:tblCellMar>
        </w:tblPrEx>
        <w:trPr>
          <w:trHeight w:val="500"/>
          <w:jc w:val="center"/>
        </w:trPr>
        <w:tc>
          <w:tcPr>
            <w:tcW w:w="1413" w:type="dxa"/>
            <w:tcBorders>
              <w:top w:val="single" w:sz="4" w:space="0" w:color="auto"/>
            </w:tcBorders>
            <w:vAlign w:val="center"/>
          </w:tcPr>
          <w:p w:rsidR="00503EBB" w:rsidRPr="00503EBB" w:rsidRDefault="00503EBB" w:rsidP="00D36422">
            <w:pPr>
              <w:spacing w:after="0"/>
              <w:jc w:val="center"/>
              <w:rPr>
                <w:rFonts w:cstheme="minorHAnsi"/>
                <w:b/>
                <w:sz w:val="28"/>
                <w:szCs w:val="28"/>
              </w:rPr>
            </w:pPr>
            <w:r w:rsidRPr="00503EBB">
              <w:rPr>
                <w:rFonts w:cstheme="minorHAnsi"/>
                <w:b/>
                <w:sz w:val="28"/>
                <w:szCs w:val="28"/>
              </w:rPr>
              <w:t>10.</w:t>
            </w:r>
          </w:p>
        </w:tc>
        <w:tc>
          <w:tcPr>
            <w:tcW w:w="6662" w:type="dxa"/>
            <w:tcBorders>
              <w:top w:val="single" w:sz="4" w:space="0" w:color="auto"/>
            </w:tcBorders>
            <w:vAlign w:val="center"/>
          </w:tcPr>
          <w:p w:rsidR="00503EBB" w:rsidRDefault="00203D3D" w:rsidP="00D36422">
            <w:pPr>
              <w:spacing w:after="0"/>
              <w:jc w:val="both"/>
              <w:rPr>
                <w:b/>
                <w:sz w:val="28"/>
                <w:u w:val="single"/>
              </w:rPr>
            </w:pPr>
            <w:r w:rsidRPr="00203D3D">
              <w:rPr>
                <w:b/>
                <w:sz w:val="28"/>
                <w:u w:val="single"/>
              </w:rPr>
              <w:t xml:space="preserve">C.3, </w:t>
            </w:r>
            <w:proofErr w:type="gramStart"/>
            <w:r w:rsidRPr="00203D3D">
              <w:rPr>
                <w:b/>
                <w:sz w:val="28"/>
                <w:u w:val="single"/>
              </w:rPr>
              <w:t>IV.5 (Inventarizace</w:t>
            </w:r>
            <w:proofErr w:type="gramEnd"/>
            <w:r w:rsidRPr="00203D3D">
              <w:rPr>
                <w:b/>
                <w:sz w:val="28"/>
                <w:u w:val="single"/>
              </w:rPr>
              <w:t xml:space="preserve"> majetku)</w:t>
            </w:r>
            <w:r>
              <w:rPr>
                <w:b/>
                <w:sz w:val="28"/>
                <w:u w:val="single"/>
              </w:rPr>
              <w:t xml:space="preserve"> </w:t>
            </w:r>
            <w:r w:rsidRPr="00203D3D">
              <w:rPr>
                <w:rFonts w:cstheme="minorHAnsi"/>
                <w:b/>
                <w:sz w:val="28"/>
                <w:szCs w:val="28"/>
              </w:rPr>
              <w:t>– tato připomínka je zásadní</w:t>
            </w:r>
          </w:p>
          <w:p w:rsidR="00203D3D" w:rsidRPr="00203D3D" w:rsidRDefault="00203D3D" w:rsidP="00D36422">
            <w:pPr>
              <w:spacing w:after="0"/>
              <w:jc w:val="both"/>
              <w:rPr>
                <w:rFonts w:cstheme="minorHAnsi"/>
                <w:b/>
                <w:sz w:val="28"/>
                <w:szCs w:val="28"/>
                <w:u w:val="single"/>
              </w:rPr>
            </w:pPr>
            <w:r w:rsidRPr="00621CC9">
              <w:rPr>
                <w:sz w:val="28"/>
                <w:szCs w:val="28"/>
              </w:rPr>
              <w:t>Souhlasíme s vhodností prováděcí vyhlášky, která bude komplexně řešit problematiku inventarizací. Bylo by však vhodné odlišit rozsah povinností podle typu účetních jednotek, neboť automatické uplatnění povinností vybraných účetních jednotek, především státu na podnikatelské subjekty by nebyl zcela vhodný.</w:t>
            </w:r>
          </w:p>
        </w:tc>
        <w:tc>
          <w:tcPr>
            <w:tcW w:w="5727" w:type="dxa"/>
            <w:tcBorders>
              <w:top w:val="single" w:sz="4" w:space="0" w:color="auto"/>
            </w:tcBorders>
            <w:vAlign w:val="center"/>
          </w:tcPr>
          <w:p w:rsidR="00503EBB" w:rsidRPr="00503EBB" w:rsidRDefault="00503EBB" w:rsidP="00D36422">
            <w:pPr>
              <w:spacing w:after="0"/>
              <w:jc w:val="both"/>
              <w:rPr>
                <w:rFonts w:cstheme="minorHAnsi"/>
                <w:b/>
                <w:sz w:val="28"/>
                <w:szCs w:val="28"/>
              </w:rPr>
            </w:pPr>
          </w:p>
        </w:tc>
      </w:tr>
      <w:tr w:rsidR="00503EBB" w:rsidTr="00D36422">
        <w:tblPrEx>
          <w:tblCellMar>
            <w:top w:w="0" w:type="dxa"/>
            <w:bottom w:w="0" w:type="dxa"/>
          </w:tblCellMar>
        </w:tblPrEx>
        <w:trPr>
          <w:trHeight w:val="500"/>
          <w:jc w:val="center"/>
        </w:trPr>
        <w:tc>
          <w:tcPr>
            <w:tcW w:w="1413" w:type="dxa"/>
            <w:tcBorders>
              <w:top w:val="single" w:sz="4" w:space="0" w:color="auto"/>
            </w:tcBorders>
            <w:vAlign w:val="center"/>
          </w:tcPr>
          <w:p w:rsidR="00503EBB" w:rsidRPr="00503EBB" w:rsidRDefault="00503EBB" w:rsidP="00D36422">
            <w:pPr>
              <w:spacing w:after="0"/>
              <w:jc w:val="center"/>
              <w:rPr>
                <w:rFonts w:cstheme="minorHAnsi"/>
                <w:b/>
                <w:sz w:val="28"/>
                <w:szCs w:val="28"/>
              </w:rPr>
            </w:pPr>
            <w:r w:rsidRPr="00503EBB">
              <w:rPr>
                <w:rFonts w:cstheme="minorHAnsi"/>
                <w:b/>
                <w:sz w:val="28"/>
                <w:szCs w:val="28"/>
              </w:rPr>
              <w:lastRenderedPageBreak/>
              <w:t>11.</w:t>
            </w:r>
          </w:p>
        </w:tc>
        <w:tc>
          <w:tcPr>
            <w:tcW w:w="6662" w:type="dxa"/>
            <w:tcBorders>
              <w:top w:val="single" w:sz="4" w:space="0" w:color="auto"/>
            </w:tcBorders>
            <w:vAlign w:val="center"/>
          </w:tcPr>
          <w:p w:rsidR="00503EBB" w:rsidRDefault="00203D3D" w:rsidP="00D36422">
            <w:pPr>
              <w:spacing w:after="0"/>
              <w:jc w:val="both"/>
              <w:rPr>
                <w:b/>
                <w:sz w:val="28"/>
                <w:szCs w:val="28"/>
                <w:u w:val="single"/>
              </w:rPr>
            </w:pPr>
            <w:proofErr w:type="gramStart"/>
            <w:r w:rsidRPr="00203D3D">
              <w:rPr>
                <w:b/>
                <w:sz w:val="28"/>
                <w:szCs w:val="28"/>
                <w:u w:val="single"/>
              </w:rPr>
              <w:t>C.3, IX</w:t>
            </w:r>
            <w:proofErr w:type="gramEnd"/>
            <w:r>
              <w:rPr>
                <w:b/>
                <w:sz w:val="28"/>
                <w:szCs w:val="28"/>
                <w:u w:val="single"/>
              </w:rPr>
              <w:t xml:space="preserve"> </w:t>
            </w:r>
            <w:r w:rsidRPr="00203D3D">
              <w:rPr>
                <w:rFonts w:cstheme="minorHAnsi"/>
                <w:b/>
                <w:sz w:val="28"/>
                <w:szCs w:val="28"/>
              </w:rPr>
              <w:t>– tato připomínka je zásadní</w:t>
            </w:r>
          </w:p>
          <w:p w:rsidR="00203D3D" w:rsidRPr="00203D3D" w:rsidRDefault="00203D3D" w:rsidP="00D36422">
            <w:pPr>
              <w:spacing w:after="0"/>
              <w:jc w:val="both"/>
              <w:rPr>
                <w:rFonts w:cstheme="minorHAnsi"/>
                <w:b/>
                <w:sz w:val="28"/>
                <w:szCs w:val="28"/>
                <w:u w:val="single"/>
              </w:rPr>
            </w:pPr>
            <w:r>
              <w:rPr>
                <w:sz w:val="28"/>
              </w:rPr>
              <w:t>Doporučujeme, aby věcný záměr plně respektoval bod 39 Směrnice.</w:t>
            </w:r>
          </w:p>
        </w:tc>
        <w:tc>
          <w:tcPr>
            <w:tcW w:w="5727" w:type="dxa"/>
            <w:tcBorders>
              <w:top w:val="single" w:sz="4" w:space="0" w:color="auto"/>
            </w:tcBorders>
            <w:vAlign w:val="center"/>
          </w:tcPr>
          <w:p w:rsidR="00203D3D" w:rsidRPr="00203D3D" w:rsidRDefault="00203D3D" w:rsidP="00203D3D">
            <w:pPr>
              <w:spacing w:before="100" w:beforeAutospacing="1" w:after="100" w:afterAutospacing="1"/>
              <w:jc w:val="both"/>
              <w:rPr>
                <w:sz w:val="28"/>
              </w:rPr>
            </w:pPr>
            <w:r w:rsidRPr="00203D3D">
              <w:rPr>
                <w:sz w:val="28"/>
              </w:rPr>
              <w:t xml:space="preserve">Podle bodu 39 úvodních ustanovení Směrnice Evropského Parlamentu a Rady 2013/34/EU o ročních účetních závěrkách jsou členské státy </w:t>
            </w:r>
            <w:r w:rsidRPr="00203D3D">
              <w:rPr>
                <w:i/>
                <w:sz w:val="28"/>
              </w:rPr>
              <w:t>„důrazně vyzývány k tomu, aby vyvinuli elektronické systémy zveřejňování, jež podnikům umožní předložit údaje z účetnictví, včetně</w:t>
            </w:r>
            <w:r w:rsidRPr="00203D3D">
              <w:rPr>
                <w:sz w:val="28"/>
              </w:rPr>
              <w:t xml:space="preserve"> </w:t>
            </w:r>
            <w:r w:rsidRPr="00203D3D">
              <w:rPr>
                <w:i/>
                <w:sz w:val="28"/>
              </w:rPr>
              <w:t>povinných účetních závěrek, pouze jednou“.</w:t>
            </w:r>
            <w:r w:rsidRPr="00203D3D">
              <w:rPr>
                <w:sz w:val="28"/>
              </w:rPr>
              <w:t xml:space="preserve"> Proto považujeme za nutné řešit </w:t>
            </w:r>
            <w:proofErr w:type="spellStart"/>
            <w:r w:rsidRPr="00203D3D">
              <w:rPr>
                <w:sz w:val="28"/>
              </w:rPr>
              <w:t>neduplicitu</w:t>
            </w:r>
            <w:proofErr w:type="spellEnd"/>
            <w:r w:rsidRPr="00203D3D">
              <w:rPr>
                <w:sz w:val="28"/>
              </w:rPr>
              <w:t xml:space="preserve"> předkládání účetní závěrky, tj. závěrka by byla vložena účetní jednotkou do jednoho centrálního úložiště pouze jednou.</w:t>
            </w:r>
          </w:p>
          <w:p w:rsidR="00503EBB" w:rsidRPr="00503EBB" w:rsidRDefault="00203D3D" w:rsidP="00203D3D">
            <w:pPr>
              <w:spacing w:after="0"/>
              <w:jc w:val="both"/>
              <w:rPr>
                <w:rFonts w:cstheme="minorHAnsi"/>
                <w:b/>
                <w:sz w:val="28"/>
                <w:szCs w:val="28"/>
              </w:rPr>
            </w:pPr>
            <w:r w:rsidRPr="00AE3AEF">
              <w:rPr>
                <w:sz w:val="28"/>
                <w:szCs w:val="28"/>
              </w:rPr>
              <w:t>Je také nezbytné, aby povinně zveřejňované údaje nebyly nad rámec toho, co je nezbytně vyžadováno komunitární právem. To znamená, že hlavně  u těch nejmenších účetních jednotek by měly být povinně zveřejňovány pouze nezbytně nutné údaje. Pokud to komunitární předpisy umožní, měl by se naopak rozsah zveřejňovaných údajů omezit.</w:t>
            </w:r>
          </w:p>
        </w:tc>
      </w:tr>
    </w:tbl>
    <w:p w:rsidR="00621CC9" w:rsidRDefault="00621CC9" w:rsidP="00153F13">
      <w:pPr>
        <w:jc w:val="center"/>
        <w:rPr>
          <w:b/>
          <w:sz w:val="36"/>
          <w:szCs w:val="28"/>
        </w:rPr>
      </w:pPr>
    </w:p>
    <w:p w:rsidR="00621CC9" w:rsidRDefault="00621CC9" w:rsidP="00153F13">
      <w:pPr>
        <w:jc w:val="center"/>
        <w:rPr>
          <w:b/>
          <w:sz w:val="36"/>
          <w:szCs w:val="28"/>
        </w:rPr>
      </w:pPr>
    </w:p>
    <w:p w:rsidR="00E458D1" w:rsidRDefault="0067453C" w:rsidP="00A76700">
      <w:pPr>
        <w:jc w:val="both"/>
        <w:rPr>
          <w:rFonts w:ascii="Arial" w:hAnsi="Arial" w:cs="Arial"/>
          <w:sz w:val="24"/>
          <w:szCs w:val="24"/>
        </w:rPr>
      </w:pPr>
      <w:bookmarkStart w:id="0" w:name="_GoBack"/>
      <w:bookmarkEnd w:id="0"/>
      <w:r>
        <w:rPr>
          <w:rFonts w:ascii="Arial" w:hAnsi="Arial" w:cs="Arial"/>
          <w:b/>
          <w:sz w:val="24"/>
          <w:szCs w:val="24"/>
        </w:rPr>
        <w:lastRenderedPageBreak/>
        <w:t xml:space="preserve">Za </w:t>
      </w:r>
      <w:r w:rsidR="00C4526E">
        <w:rPr>
          <w:rFonts w:ascii="Arial" w:hAnsi="Arial" w:cs="Arial"/>
          <w:b/>
          <w:sz w:val="24"/>
          <w:szCs w:val="24"/>
        </w:rPr>
        <w:t>KDP</w:t>
      </w:r>
      <w:r>
        <w:rPr>
          <w:rFonts w:ascii="Arial" w:hAnsi="Arial" w:cs="Arial"/>
          <w:b/>
          <w:sz w:val="24"/>
          <w:szCs w:val="24"/>
        </w:rPr>
        <w:t xml:space="preserve"> zpracoval</w:t>
      </w:r>
      <w:r w:rsidR="00C4526E">
        <w:rPr>
          <w:rFonts w:ascii="Arial" w:hAnsi="Arial" w:cs="Arial"/>
          <w:b/>
          <w:sz w:val="24"/>
          <w:szCs w:val="24"/>
        </w:rPr>
        <w:t xml:space="preserve">: </w:t>
      </w:r>
      <w:r w:rsidRPr="00E458D1">
        <w:rPr>
          <w:rFonts w:ascii="Arial" w:hAnsi="Arial" w:cs="Arial"/>
          <w:sz w:val="24"/>
          <w:szCs w:val="24"/>
        </w:rPr>
        <w:t>Ing.</w:t>
      </w:r>
      <w:r>
        <w:rPr>
          <w:rFonts w:ascii="Arial" w:hAnsi="Arial" w:cs="Arial"/>
          <w:b/>
          <w:sz w:val="24"/>
          <w:szCs w:val="24"/>
        </w:rPr>
        <w:t xml:space="preserve"> </w:t>
      </w:r>
      <w:r w:rsidR="00C4526E">
        <w:rPr>
          <w:rFonts w:ascii="Arial" w:hAnsi="Arial" w:cs="Arial"/>
          <w:sz w:val="24"/>
          <w:szCs w:val="24"/>
        </w:rPr>
        <w:t>Zdeněk U</w:t>
      </w:r>
      <w:r>
        <w:rPr>
          <w:rFonts w:ascii="Arial" w:hAnsi="Arial" w:cs="Arial"/>
          <w:sz w:val="24"/>
          <w:szCs w:val="24"/>
        </w:rPr>
        <w:t>rban, vedoucí Sekce</w:t>
      </w:r>
      <w:r w:rsidR="00E458D1">
        <w:rPr>
          <w:rFonts w:ascii="Arial" w:hAnsi="Arial" w:cs="Arial"/>
          <w:sz w:val="24"/>
          <w:szCs w:val="24"/>
        </w:rPr>
        <w:t xml:space="preserve"> účetnictví</w:t>
      </w:r>
    </w:p>
    <w:p w:rsidR="00C4526E" w:rsidRPr="00C4526E" w:rsidRDefault="00E458D1" w:rsidP="00A76700">
      <w:pPr>
        <w:jc w:val="both"/>
        <w:rPr>
          <w:rFonts w:ascii="Arial" w:hAnsi="Arial" w:cs="Arial"/>
          <w:sz w:val="24"/>
          <w:szCs w:val="24"/>
        </w:rPr>
      </w:pPr>
      <w:r w:rsidRPr="00E458D1">
        <w:rPr>
          <w:rFonts w:ascii="Arial" w:hAnsi="Arial" w:cs="Arial"/>
          <w:b/>
          <w:sz w:val="24"/>
          <w:szCs w:val="24"/>
        </w:rPr>
        <w:t xml:space="preserve">Připomínky KDP ČR zaslali: </w:t>
      </w:r>
      <w:r w:rsidRPr="00E458D1">
        <w:rPr>
          <w:rFonts w:ascii="Arial" w:hAnsi="Arial" w:cs="Arial"/>
          <w:sz w:val="24"/>
          <w:szCs w:val="24"/>
        </w:rPr>
        <w:t>Ing.</w:t>
      </w:r>
      <w:r>
        <w:rPr>
          <w:rFonts w:ascii="Arial" w:hAnsi="Arial" w:cs="Arial"/>
          <w:b/>
          <w:sz w:val="24"/>
          <w:szCs w:val="24"/>
        </w:rPr>
        <w:t xml:space="preserve"> </w:t>
      </w:r>
      <w:r>
        <w:rPr>
          <w:rFonts w:ascii="Arial" w:hAnsi="Arial" w:cs="Arial"/>
          <w:sz w:val="24"/>
          <w:szCs w:val="24"/>
        </w:rPr>
        <w:t xml:space="preserve">Zdeněk Urban, vedoucí Sekce účetnictví; Ing. Bc. Jiří </w:t>
      </w:r>
      <w:r w:rsidR="00C4526E">
        <w:rPr>
          <w:rFonts w:ascii="Arial" w:hAnsi="Arial" w:cs="Arial"/>
          <w:sz w:val="24"/>
          <w:szCs w:val="24"/>
        </w:rPr>
        <w:t>Nesrovnal,</w:t>
      </w:r>
      <w:r>
        <w:rPr>
          <w:rFonts w:ascii="Arial" w:hAnsi="Arial" w:cs="Arial"/>
          <w:sz w:val="24"/>
          <w:szCs w:val="24"/>
        </w:rPr>
        <w:t xml:space="preserve"> člen Prezidia a vedoucí Sekce DPPO; Ing. Tomáš</w:t>
      </w:r>
      <w:r w:rsidR="00C4526E">
        <w:rPr>
          <w:rFonts w:ascii="Arial" w:hAnsi="Arial" w:cs="Arial"/>
          <w:sz w:val="24"/>
          <w:szCs w:val="24"/>
        </w:rPr>
        <w:t xml:space="preserve"> Hajdušek</w:t>
      </w:r>
      <w:r>
        <w:rPr>
          <w:rFonts w:ascii="Arial" w:hAnsi="Arial" w:cs="Arial"/>
          <w:sz w:val="24"/>
          <w:szCs w:val="24"/>
        </w:rPr>
        <w:t>, vedoucí Sekce správa daní a poplatků</w:t>
      </w:r>
    </w:p>
    <w:sectPr w:rsidR="00C4526E" w:rsidRPr="00C4526E" w:rsidSect="00D36422">
      <w:headerReference w:type="default" r:id="rId8"/>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B6E" w:rsidRDefault="00E91B6E" w:rsidP="00527885">
      <w:pPr>
        <w:spacing w:after="0" w:line="240" w:lineRule="auto"/>
      </w:pPr>
      <w:r>
        <w:separator/>
      </w:r>
    </w:p>
  </w:endnote>
  <w:endnote w:type="continuationSeparator" w:id="0">
    <w:p w:rsidR="00E91B6E" w:rsidRDefault="00E91B6E" w:rsidP="00527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0616769"/>
      <w:docPartObj>
        <w:docPartGallery w:val="Page Numbers (Bottom of Page)"/>
        <w:docPartUnique/>
      </w:docPartObj>
    </w:sdtPr>
    <w:sdtEndPr/>
    <w:sdtContent>
      <w:p w:rsidR="00E91B6E" w:rsidRDefault="00C8270B" w:rsidP="00345DCF">
        <w:pPr>
          <w:pStyle w:val="Zpat"/>
          <w:pBdr>
            <w:top w:val="single" w:sz="4" w:space="1" w:color="auto"/>
          </w:pBdr>
          <w:jc w:val="center"/>
        </w:pPr>
        <w:r>
          <w:fldChar w:fldCharType="begin"/>
        </w:r>
        <w:r>
          <w:instrText xml:space="preserve"> PAGE   \* MERGEFORMAT </w:instrText>
        </w:r>
        <w:r>
          <w:fldChar w:fldCharType="separate"/>
        </w:r>
        <w:r w:rsidR="00CD2907">
          <w:rPr>
            <w:noProof/>
          </w:rPr>
          <w:t>6</w:t>
        </w:r>
        <w:r>
          <w:rPr>
            <w:noProof/>
          </w:rPr>
          <w:fldChar w:fldCharType="end"/>
        </w:r>
      </w:p>
    </w:sdtContent>
  </w:sdt>
  <w:p w:rsidR="00E91B6E" w:rsidRDefault="00E91B6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B6E" w:rsidRDefault="00E91B6E" w:rsidP="00527885">
      <w:pPr>
        <w:spacing w:after="0" w:line="240" w:lineRule="auto"/>
      </w:pPr>
      <w:r>
        <w:separator/>
      </w:r>
    </w:p>
  </w:footnote>
  <w:footnote w:type="continuationSeparator" w:id="0">
    <w:p w:rsidR="00E91B6E" w:rsidRDefault="00E91B6E" w:rsidP="00527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B6E" w:rsidRDefault="00534A26" w:rsidP="00345DCF">
    <w:pPr>
      <w:pStyle w:val="Zhlav"/>
      <w:pBdr>
        <w:bottom w:val="single" w:sz="4" w:space="1" w:color="auto"/>
      </w:pBdr>
    </w:pPr>
    <w:r>
      <w:t>16. 0</w:t>
    </w:r>
    <w:r w:rsidR="00153F13">
      <w:t>1</w:t>
    </w:r>
    <w:r>
      <w:t>. 2020</w:t>
    </w:r>
    <w:r w:rsidR="00B953EF">
      <w:tab/>
    </w:r>
    <w:r w:rsidR="00B953EF">
      <w:tab/>
      <w:t>Připomínky KDP ČR</w:t>
    </w:r>
    <w:r w:rsidR="00E91B6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336D"/>
    <w:multiLevelType w:val="hybridMultilevel"/>
    <w:tmpl w:val="23AE3B5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 w15:restartNumberingAfterBreak="0">
    <w:nsid w:val="0AB327BC"/>
    <w:multiLevelType w:val="hybridMultilevel"/>
    <w:tmpl w:val="2016671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9225C6D"/>
    <w:multiLevelType w:val="hybridMultilevel"/>
    <w:tmpl w:val="39EEAF2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4D41D46"/>
    <w:multiLevelType w:val="hybridMultilevel"/>
    <w:tmpl w:val="E370BB1E"/>
    <w:lvl w:ilvl="0" w:tplc="15F25028">
      <w:start w:val="1"/>
      <w:numFmt w:val="decimal"/>
      <w:lvlText w:val="%1)"/>
      <w:lvlJc w:val="left"/>
      <w:pPr>
        <w:ind w:left="720" w:hanging="360"/>
      </w:pPr>
      <w:rPr>
        <w:rFonts w:hint="default"/>
        <w:b/>
        <w:sz w:val="28"/>
        <w:szCs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3C2490A"/>
    <w:multiLevelType w:val="hybridMultilevel"/>
    <w:tmpl w:val="6D16720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15:restartNumberingAfterBreak="0">
    <w:nsid w:val="5F272E2D"/>
    <w:multiLevelType w:val="hybridMultilevel"/>
    <w:tmpl w:val="5BFE8D6C"/>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60E92278"/>
    <w:multiLevelType w:val="hybridMultilevel"/>
    <w:tmpl w:val="8468F7A8"/>
    <w:lvl w:ilvl="0" w:tplc="914CBB86">
      <w:start w:val="30"/>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79840BBA"/>
    <w:multiLevelType w:val="hybridMultilevel"/>
    <w:tmpl w:val="9746FB78"/>
    <w:lvl w:ilvl="0" w:tplc="34BA3B4E">
      <w:start w:val="6"/>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6"/>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59A"/>
    <w:rsid w:val="000517B0"/>
    <w:rsid w:val="000569A2"/>
    <w:rsid w:val="00083E55"/>
    <w:rsid w:val="000C5E97"/>
    <w:rsid w:val="000D259A"/>
    <w:rsid w:val="000D7969"/>
    <w:rsid w:val="000E25BB"/>
    <w:rsid w:val="001108C5"/>
    <w:rsid w:val="00116B06"/>
    <w:rsid w:val="00117E39"/>
    <w:rsid w:val="00153F13"/>
    <w:rsid w:val="00161B02"/>
    <w:rsid w:val="00174CD7"/>
    <w:rsid w:val="00184352"/>
    <w:rsid w:val="00192911"/>
    <w:rsid w:val="001E3497"/>
    <w:rsid w:val="001E51D8"/>
    <w:rsid w:val="00203D3D"/>
    <w:rsid w:val="002246C4"/>
    <w:rsid w:val="002643E0"/>
    <w:rsid w:val="00274245"/>
    <w:rsid w:val="00276F5E"/>
    <w:rsid w:val="002B1AAD"/>
    <w:rsid w:val="003368E6"/>
    <w:rsid w:val="00345DCF"/>
    <w:rsid w:val="0038594A"/>
    <w:rsid w:val="00386D35"/>
    <w:rsid w:val="003B6B65"/>
    <w:rsid w:val="003C0FFF"/>
    <w:rsid w:val="003E1F30"/>
    <w:rsid w:val="00433FA1"/>
    <w:rsid w:val="004506FB"/>
    <w:rsid w:val="0048466C"/>
    <w:rsid w:val="004A2353"/>
    <w:rsid w:val="004B1E45"/>
    <w:rsid w:val="004C1E9B"/>
    <w:rsid w:val="004D4FD6"/>
    <w:rsid w:val="004E02E0"/>
    <w:rsid w:val="004E3382"/>
    <w:rsid w:val="00503EBB"/>
    <w:rsid w:val="00511A02"/>
    <w:rsid w:val="00527885"/>
    <w:rsid w:val="00534A26"/>
    <w:rsid w:val="0054658C"/>
    <w:rsid w:val="005A2D5A"/>
    <w:rsid w:val="005A5793"/>
    <w:rsid w:val="005A6754"/>
    <w:rsid w:val="006169B6"/>
    <w:rsid w:val="00621CC9"/>
    <w:rsid w:val="00644B69"/>
    <w:rsid w:val="00672789"/>
    <w:rsid w:val="00672821"/>
    <w:rsid w:val="0067453C"/>
    <w:rsid w:val="006805E5"/>
    <w:rsid w:val="006F2F58"/>
    <w:rsid w:val="00702390"/>
    <w:rsid w:val="00721113"/>
    <w:rsid w:val="0074242E"/>
    <w:rsid w:val="007549D3"/>
    <w:rsid w:val="007A1A02"/>
    <w:rsid w:val="007C5B58"/>
    <w:rsid w:val="007C7BCC"/>
    <w:rsid w:val="007E4E2B"/>
    <w:rsid w:val="008228F7"/>
    <w:rsid w:val="00827596"/>
    <w:rsid w:val="00833D6A"/>
    <w:rsid w:val="00853974"/>
    <w:rsid w:val="008734DB"/>
    <w:rsid w:val="00881ECD"/>
    <w:rsid w:val="00891BBD"/>
    <w:rsid w:val="0089394A"/>
    <w:rsid w:val="00897D24"/>
    <w:rsid w:val="008A167E"/>
    <w:rsid w:val="008A3B61"/>
    <w:rsid w:val="008C27C8"/>
    <w:rsid w:val="008C3C17"/>
    <w:rsid w:val="008E0627"/>
    <w:rsid w:val="008F1B7B"/>
    <w:rsid w:val="008F79F0"/>
    <w:rsid w:val="00902B7D"/>
    <w:rsid w:val="00904337"/>
    <w:rsid w:val="009230F2"/>
    <w:rsid w:val="00957B7E"/>
    <w:rsid w:val="00962595"/>
    <w:rsid w:val="009815CB"/>
    <w:rsid w:val="009A5656"/>
    <w:rsid w:val="00A13C48"/>
    <w:rsid w:val="00A15507"/>
    <w:rsid w:val="00A54F43"/>
    <w:rsid w:val="00A76700"/>
    <w:rsid w:val="00AA7D95"/>
    <w:rsid w:val="00AD46C7"/>
    <w:rsid w:val="00AE3AEF"/>
    <w:rsid w:val="00B04CC7"/>
    <w:rsid w:val="00B23361"/>
    <w:rsid w:val="00B46165"/>
    <w:rsid w:val="00B64B32"/>
    <w:rsid w:val="00B914E8"/>
    <w:rsid w:val="00B9185E"/>
    <w:rsid w:val="00B953EF"/>
    <w:rsid w:val="00BF0439"/>
    <w:rsid w:val="00BF3F56"/>
    <w:rsid w:val="00BF4C7D"/>
    <w:rsid w:val="00C115B9"/>
    <w:rsid w:val="00C1709D"/>
    <w:rsid w:val="00C220C7"/>
    <w:rsid w:val="00C30B56"/>
    <w:rsid w:val="00C34D51"/>
    <w:rsid w:val="00C40FFB"/>
    <w:rsid w:val="00C4526E"/>
    <w:rsid w:val="00C72FD0"/>
    <w:rsid w:val="00C8270B"/>
    <w:rsid w:val="00CD2907"/>
    <w:rsid w:val="00CD7AAA"/>
    <w:rsid w:val="00D200A7"/>
    <w:rsid w:val="00D232B8"/>
    <w:rsid w:val="00D36422"/>
    <w:rsid w:val="00D52CF6"/>
    <w:rsid w:val="00D71C00"/>
    <w:rsid w:val="00D73CBE"/>
    <w:rsid w:val="00D8291D"/>
    <w:rsid w:val="00D86E4C"/>
    <w:rsid w:val="00DA328A"/>
    <w:rsid w:val="00DC462B"/>
    <w:rsid w:val="00DE05B6"/>
    <w:rsid w:val="00E27C5E"/>
    <w:rsid w:val="00E413C1"/>
    <w:rsid w:val="00E45586"/>
    <w:rsid w:val="00E458D1"/>
    <w:rsid w:val="00E62FF8"/>
    <w:rsid w:val="00E91B6E"/>
    <w:rsid w:val="00E9587D"/>
    <w:rsid w:val="00EC4AB5"/>
    <w:rsid w:val="00EE4064"/>
    <w:rsid w:val="00F242D3"/>
    <w:rsid w:val="00F62A12"/>
    <w:rsid w:val="00F733FC"/>
    <w:rsid w:val="00FA0AEE"/>
    <w:rsid w:val="00FA33DF"/>
    <w:rsid w:val="00FB0D9D"/>
    <w:rsid w:val="00FB4DC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53943"/>
  <w15:docId w15:val="{792A9F78-9A05-470F-9A8A-C44057701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53F13"/>
    <w:pPr>
      <w:spacing w:after="200" w:line="276" w:lineRule="auto"/>
    </w:pPr>
    <w:rPr>
      <w:rFonts w:eastAsiaTheme="minorEastAsi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27885"/>
    <w:pPr>
      <w:spacing w:after="160" w:line="259" w:lineRule="auto"/>
      <w:ind w:left="720"/>
      <w:contextualSpacing/>
    </w:pPr>
    <w:rPr>
      <w:rFonts w:eastAsiaTheme="minorHAnsi"/>
      <w:lang w:eastAsia="en-US"/>
    </w:rPr>
  </w:style>
  <w:style w:type="paragraph" w:styleId="Textpoznpodarou">
    <w:name w:val="footnote text"/>
    <w:basedOn w:val="Normln"/>
    <w:link w:val="TextpoznpodarouChar"/>
    <w:uiPriority w:val="99"/>
    <w:semiHidden/>
    <w:unhideWhenUsed/>
    <w:rsid w:val="00527885"/>
    <w:pPr>
      <w:spacing w:after="0" w:line="240" w:lineRule="auto"/>
    </w:pPr>
    <w:rPr>
      <w:rFonts w:eastAsiaTheme="minorHAnsi"/>
      <w:sz w:val="20"/>
      <w:szCs w:val="20"/>
      <w:lang w:eastAsia="en-US"/>
    </w:rPr>
  </w:style>
  <w:style w:type="character" w:customStyle="1" w:styleId="TextpoznpodarouChar">
    <w:name w:val="Text pozn. pod čarou Char"/>
    <w:basedOn w:val="Standardnpsmoodstavce"/>
    <w:link w:val="Textpoznpodarou"/>
    <w:uiPriority w:val="99"/>
    <w:semiHidden/>
    <w:rsid w:val="00527885"/>
    <w:rPr>
      <w:sz w:val="20"/>
      <w:szCs w:val="20"/>
    </w:rPr>
  </w:style>
  <w:style w:type="character" w:styleId="Znakapoznpodarou">
    <w:name w:val="footnote reference"/>
    <w:basedOn w:val="Standardnpsmoodstavce"/>
    <w:uiPriority w:val="99"/>
    <w:semiHidden/>
    <w:unhideWhenUsed/>
    <w:rsid w:val="00527885"/>
    <w:rPr>
      <w:vertAlign w:val="superscript"/>
    </w:rPr>
  </w:style>
  <w:style w:type="character" w:styleId="Odkaznakoment">
    <w:name w:val="annotation reference"/>
    <w:basedOn w:val="Standardnpsmoodstavce"/>
    <w:uiPriority w:val="99"/>
    <w:semiHidden/>
    <w:unhideWhenUsed/>
    <w:rsid w:val="00527885"/>
    <w:rPr>
      <w:sz w:val="16"/>
      <w:szCs w:val="16"/>
    </w:rPr>
  </w:style>
  <w:style w:type="paragraph" w:styleId="Textkomente">
    <w:name w:val="annotation text"/>
    <w:basedOn w:val="Normln"/>
    <w:link w:val="TextkomenteChar"/>
    <w:uiPriority w:val="99"/>
    <w:unhideWhenUsed/>
    <w:rsid w:val="00527885"/>
    <w:pPr>
      <w:spacing w:line="240" w:lineRule="auto"/>
    </w:pPr>
    <w:rPr>
      <w:sz w:val="20"/>
      <w:szCs w:val="20"/>
    </w:rPr>
  </w:style>
  <w:style w:type="character" w:customStyle="1" w:styleId="TextkomenteChar">
    <w:name w:val="Text komentáře Char"/>
    <w:basedOn w:val="Standardnpsmoodstavce"/>
    <w:link w:val="Textkomente"/>
    <w:uiPriority w:val="99"/>
    <w:rsid w:val="00527885"/>
    <w:rPr>
      <w:sz w:val="20"/>
      <w:szCs w:val="20"/>
    </w:rPr>
  </w:style>
  <w:style w:type="paragraph" w:styleId="Pedmtkomente">
    <w:name w:val="annotation subject"/>
    <w:basedOn w:val="Textkomente"/>
    <w:next w:val="Textkomente"/>
    <w:link w:val="PedmtkomenteChar"/>
    <w:uiPriority w:val="99"/>
    <w:semiHidden/>
    <w:unhideWhenUsed/>
    <w:rsid w:val="00FB4DC4"/>
    <w:rPr>
      <w:b/>
      <w:bCs/>
    </w:rPr>
  </w:style>
  <w:style w:type="character" w:customStyle="1" w:styleId="PedmtkomenteChar">
    <w:name w:val="Předmět komentáře Char"/>
    <w:basedOn w:val="TextkomenteChar"/>
    <w:link w:val="Pedmtkomente"/>
    <w:uiPriority w:val="99"/>
    <w:semiHidden/>
    <w:rsid w:val="00FB4DC4"/>
    <w:rPr>
      <w:b/>
      <w:bCs/>
      <w:sz w:val="20"/>
      <w:szCs w:val="20"/>
    </w:rPr>
  </w:style>
  <w:style w:type="paragraph" w:styleId="Revize">
    <w:name w:val="Revision"/>
    <w:hidden/>
    <w:uiPriority w:val="99"/>
    <w:semiHidden/>
    <w:rsid w:val="00FB4DC4"/>
    <w:pPr>
      <w:spacing w:after="0" w:line="240" w:lineRule="auto"/>
    </w:pPr>
  </w:style>
  <w:style w:type="paragraph" w:styleId="Textbubliny">
    <w:name w:val="Balloon Text"/>
    <w:basedOn w:val="Normln"/>
    <w:link w:val="TextbublinyChar"/>
    <w:uiPriority w:val="99"/>
    <w:semiHidden/>
    <w:unhideWhenUsed/>
    <w:rsid w:val="00FB4DC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B4DC4"/>
    <w:rPr>
      <w:rFonts w:ascii="Segoe UI" w:hAnsi="Segoe UI" w:cs="Segoe UI"/>
      <w:sz w:val="18"/>
      <w:szCs w:val="18"/>
    </w:rPr>
  </w:style>
  <w:style w:type="paragraph" w:customStyle="1" w:styleId="Default">
    <w:name w:val="Default"/>
    <w:rsid w:val="00276F5E"/>
    <w:pPr>
      <w:autoSpaceDE w:val="0"/>
      <w:autoSpaceDN w:val="0"/>
      <w:adjustRightInd w:val="0"/>
      <w:spacing w:after="0" w:line="240" w:lineRule="auto"/>
    </w:pPr>
    <w:rPr>
      <w:rFonts w:ascii="Arial" w:hAnsi="Arial" w:cs="Arial"/>
      <w:color w:val="000000"/>
      <w:sz w:val="24"/>
      <w:szCs w:val="24"/>
    </w:rPr>
  </w:style>
  <w:style w:type="paragraph" w:styleId="Zhlav">
    <w:name w:val="header"/>
    <w:basedOn w:val="Normln"/>
    <w:link w:val="ZhlavChar"/>
    <w:uiPriority w:val="99"/>
    <w:unhideWhenUsed/>
    <w:rsid w:val="00345DCF"/>
    <w:pPr>
      <w:tabs>
        <w:tab w:val="center" w:pos="4536"/>
        <w:tab w:val="right" w:pos="9072"/>
      </w:tabs>
      <w:spacing w:after="0" w:line="240" w:lineRule="auto"/>
    </w:pPr>
    <w:rPr>
      <w:rFonts w:eastAsiaTheme="minorHAnsi"/>
      <w:lang w:eastAsia="en-US"/>
    </w:rPr>
  </w:style>
  <w:style w:type="character" w:customStyle="1" w:styleId="ZhlavChar">
    <w:name w:val="Záhlaví Char"/>
    <w:basedOn w:val="Standardnpsmoodstavce"/>
    <w:link w:val="Zhlav"/>
    <w:uiPriority w:val="99"/>
    <w:rsid w:val="00345DCF"/>
  </w:style>
  <w:style w:type="paragraph" w:styleId="Zpat">
    <w:name w:val="footer"/>
    <w:basedOn w:val="Normln"/>
    <w:link w:val="ZpatChar"/>
    <w:uiPriority w:val="99"/>
    <w:unhideWhenUsed/>
    <w:rsid w:val="00345DCF"/>
    <w:pPr>
      <w:tabs>
        <w:tab w:val="center" w:pos="4536"/>
        <w:tab w:val="right" w:pos="9072"/>
      </w:tabs>
      <w:spacing w:after="0" w:line="240" w:lineRule="auto"/>
    </w:pPr>
    <w:rPr>
      <w:rFonts w:eastAsiaTheme="minorHAnsi"/>
      <w:lang w:eastAsia="en-US"/>
    </w:rPr>
  </w:style>
  <w:style w:type="character" w:customStyle="1" w:styleId="ZpatChar">
    <w:name w:val="Zápatí Char"/>
    <w:basedOn w:val="Standardnpsmoodstavce"/>
    <w:link w:val="Zpat"/>
    <w:uiPriority w:val="99"/>
    <w:rsid w:val="00345D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489071">
      <w:bodyDiv w:val="1"/>
      <w:marLeft w:val="0"/>
      <w:marRight w:val="0"/>
      <w:marTop w:val="0"/>
      <w:marBottom w:val="0"/>
      <w:divBdr>
        <w:top w:val="none" w:sz="0" w:space="0" w:color="auto"/>
        <w:left w:val="none" w:sz="0" w:space="0" w:color="auto"/>
        <w:bottom w:val="none" w:sz="0" w:space="0" w:color="auto"/>
        <w:right w:val="none" w:sz="0" w:space="0" w:color="auto"/>
      </w:divBdr>
    </w:div>
    <w:div w:id="591938652">
      <w:bodyDiv w:val="1"/>
      <w:marLeft w:val="0"/>
      <w:marRight w:val="0"/>
      <w:marTop w:val="0"/>
      <w:marBottom w:val="0"/>
      <w:divBdr>
        <w:top w:val="none" w:sz="0" w:space="0" w:color="auto"/>
        <w:left w:val="none" w:sz="0" w:space="0" w:color="auto"/>
        <w:bottom w:val="none" w:sz="0" w:space="0" w:color="auto"/>
        <w:right w:val="none" w:sz="0" w:space="0" w:color="auto"/>
      </w:divBdr>
    </w:div>
    <w:div w:id="605700668">
      <w:bodyDiv w:val="1"/>
      <w:marLeft w:val="0"/>
      <w:marRight w:val="0"/>
      <w:marTop w:val="0"/>
      <w:marBottom w:val="0"/>
      <w:divBdr>
        <w:top w:val="none" w:sz="0" w:space="0" w:color="auto"/>
        <w:left w:val="none" w:sz="0" w:space="0" w:color="auto"/>
        <w:bottom w:val="none" w:sz="0" w:space="0" w:color="auto"/>
        <w:right w:val="none" w:sz="0" w:space="0" w:color="auto"/>
      </w:divBdr>
    </w:div>
    <w:div w:id="913516219">
      <w:bodyDiv w:val="1"/>
      <w:marLeft w:val="0"/>
      <w:marRight w:val="0"/>
      <w:marTop w:val="0"/>
      <w:marBottom w:val="0"/>
      <w:divBdr>
        <w:top w:val="none" w:sz="0" w:space="0" w:color="auto"/>
        <w:left w:val="none" w:sz="0" w:space="0" w:color="auto"/>
        <w:bottom w:val="none" w:sz="0" w:space="0" w:color="auto"/>
        <w:right w:val="none" w:sz="0" w:space="0" w:color="auto"/>
      </w:divBdr>
    </w:div>
    <w:div w:id="168967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6A35A-8752-4A9D-B691-C66DE4229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6</Pages>
  <Words>753</Words>
  <Characters>4449</Characters>
  <Application>Microsoft Office Word</Application>
  <DocSecurity>0</DocSecurity>
  <Lines>37</Lines>
  <Paragraphs>10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Deloitte Central Europe</Company>
  <LinksUpToDate>false</LinksUpToDate>
  <CharactersWithSpaces>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Holubová</dc:creator>
  <cp:lastModifiedBy>Půček,Tomáš</cp:lastModifiedBy>
  <cp:revision>76</cp:revision>
  <cp:lastPrinted>2015-12-02T20:22:00Z</cp:lastPrinted>
  <dcterms:created xsi:type="dcterms:W3CDTF">2017-08-24T08:53:00Z</dcterms:created>
  <dcterms:modified xsi:type="dcterms:W3CDTF">2020-01-17T12:57:00Z</dcterms:modified>
</cp:coreProperties>
</file>