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919" w:rsidRPr="00737E4D" w:rsidRDefault="00676919" w:rsidP="00737E4D">
      <w:pPr>
        <w:spacing w:before="240" w:after="480"/>
        <w:jc w:val="center"/>
        <w:rPr>
          <w:b/>
          <w:szCs w:val="22"/>
        </w:rPr>
      </w:pPr>
      <w:bookmarkStart w:id="0" w:name="_GoBack"/>
      <w:bookmarkEnd w:id="0"/>
      <w:r w:rsidRPr="00737E4D">
        <w:rPr>
          <w:b/>
          <w:szCs w:val="22"/>
        </w:rPr>
        <w:t>PŘEDKLÁDACÍ ZPRÁVA</w:t>
      </w:r>
    </w:p>
    <w:p w:rsidR="00676919" w:rsidRPr="00737E4D" w:rsidRDefault="00676919" w:rsidP="00737E4D">
      <w:pPr>
        <w:spacing w:after="120"/>
        <w:jc w:val="both"/>
        <w:rPr>
          <w:bCs/>
          <w:szCs w:val="22"/>
        </w:rPr>
      </w:pPr>
      <w:r w:rsidRPr="00737E4D">
        <w:rPr>
          <w:bCs/>
          <w:szCs w:val="22"/>
        </w:rPr>
        <w:t>Ministerstv</w:t>
      </w:r>
      <w:r w:rsidR="001B052E">
        <w:rPr>
          <w:bCs/>
          <w:szCs w:val="22"/>
        </w:rPr>
        <w:t>o financí</w:t>
      </w:r>
      <w:r w:rsidR="00696F8B" w:rsidRPr="00737E4D">
        <w:rPr>
          <w:bCs/>
          <w:szCs w:val="22"/>
        </w:rPr>
        <w:t xml:space="preserve"> </w:t>
      </w:r>
      <w:r w:rsidRPr="00737E4D">
        <w:rPr>
          <w:bCs/>
          <w:szCs w:val="22"/>
        </w:rPr>
        <w:t xml:space="preserve">předkládá </w:t>
      </w:r>
      <w:r w:rsidRPr="00737E4D">
        <w:rPr>
          <w:bCs/>
          <w:i/>
          <w:szCs w:val="22"/>
        </w:rPr>
        <w:t>„</w:t>
      </w:r>
      <w:r w:rsidR="00751C72" w:rsidRPr="00737E4D">
        <w:rPr>
          <w:bCs/>
          <w:i/>
          <w:szCs w:val="22"/>
        </w:rPr>
        <w:t xml:space="preserve">Návrh zákona, kterým se mění některé zákony </w:t>
      </w:r>
      <w:r w:rsidR="00504080" w:rsidRPr="00737E4D">
        <w:rPr>
          <w:bCs/>
          <w:i/>
          <w:szCs w:val="22"/>
        </w:rPr>
        <w:t>v </w:t>
      </w:r>
      <w:r w:rsidR="00751C72" w:rsidRPr="00737E4D">
        <w:rPr>
          <w:bCs/>
          <w:i/>
          <w:szCs w:val="22"/>
        </w:rPr>
        <w:t xml:space="preserve">oblasti daní </w:t>
      </w:r>
      <w:r w:rsidR="00504080" w:rsidRPr="00737E4D">
        <w:rPr>
          <w:bCs/>
          <w:i/>
          <w:szCs w:val="22"/>
        </w:rPr>
        <w:t>v </w:t>
      </w:r>
      <w:r w:rsidR="00751C72" w:rsidRPr="00737E4D">
        <w:rPr>
          <w:bCs/>
          <w:i/>
          <w:szCs w:val="22"/>
        </w:rPr>
        <w:t xml:space="preserve">souvislosti </w:t>
      </w:r>
      <w:r w:rsidR="00504080" w:rsidRPr="00737E4D">
        <w:rPr>
          <w:bCs/>
          <w:i/>
          <w:szCs w:val="22"/>
        </w:rPr>
        <w:t>s </w:t>
      </w:r>
      <w:r w:rsidR="00751C72" w:rsidRPr="00737E4D">
        <w:rPr>
          <w:bCs/>
          <w:i/>
          <w:szCs w:val="22"/>
        </w:rPr>
        <w:t>implementací předpisů Evropské unie</w:t>
      </w:r>
      <w:r w:rsidR="00904CD1" w:rsidRPr="00737E4D">
        <w:rPr>
          <w:bCs/>
          <w:i/>
          <w:szCs w:val="22"/>
        </w:rPr>
        <w:t>“</w:t>
      </w:r>
      <w:r w:rsidR="001B052E">
        <w:rPr>
          <w:bCs/>
          <w:i/>
          <w:szCs w:val="22"/>
        </w:rPr>
        <w:t>.</w:t>
      </w:r>
      <w:r w:rsidRPr="00737E4D">
        <w:rPr>
          <w:bCs/>
          <w:szCs w:val="22"/>
        </w:rPr>
        <w:t xml:space="preserve"> </w:t>
      </w:r>
    </w:p>
    <w:p w:rsidR="00B11555" w:rsidRPr="00737E4D" w:rsidRDefault="00504080" w:rsidP="00737E4D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37E4D">
        <w:rPr>
          <w:rFonts w:ascii="Times New Roman" w:hAnsi="Times New Roman"/>
          <w:sz w:val="24"/>
          <w:szCs w:val="24"/>
        </w:rPr>
        <w:t>V </w:t>
      </w:r>
      <w:r w:rsidR="00B11555" w:rsidRPr="00737E4D">
        <w:rPr>
          <w:rFonts w:ascii="Times New Roman" w:hAnsi="Times New Roman"/>
          <w:sz w:val="24"/>
          <w:szCs w:val="24"/>
        </w:rPr>
        <w:t>návrhu zákona jsou obsaženy změny daňových zákonů</w:t>
      </w:r>
      <w:r w:rsidR="003A6AC5" w:rsidRPr="00737E4D">
        <w:rPr>
          <w:rFonts w:ascii="Times New Roman" w:hAnsi="Times New Roman"/>
          <w:sz w:val="24"/>
          <w:szCs w:val="24"/>
        </w:rPr>
        <w:t xml:space="preserve"> </w:t>
      </w:r>
      <w:r w:rsidR="003A6AC5" w:rsidRPr="00737E4D">
        <w:rPr>
          <w:rFonts w:ascii="Times New Roman" w:hAnsi="Times New Roman"/>
          <w:sz w:val="24"/>
        </w:rPr>
        <w:t>v souvislosti s implementací předpisů Evropské unie,</w:t>
      </w:r>
      <w:r w:rsidR="003A6AC5" w:rsidRPr="00737E4D">
        <w:rPr>
          <w:rFonts w:ascii="Times New Roman" w:hAnsi="Times New Roman"/>
          <w:sz w:val="24"/>
          <w:szCs w:val="24"/>
        </w:rPr>
        <w:t xml:space="preserve"> </w:t>
      </w:r>
      <w:r w:rsidR="00B11555" w:rsidRPr="00737E4D">
        <w:rPr>
          <w:rFonts w:ascii="Times New Roman" w:hAnsi="Times New Roman"/>
          <w:sz w:val="24"/>
          <w:szCs w:val="24"/>
        </w:rPr>
        <w:t>ke kterým má dojít s účinností od 1. ledna 20</w:t>
      </w:r>
      <w:r w:rsidR="00751C72" w:rsidRPr="00737E4D">
        <w:rPr>
          <w:rFonts w:ascii="Times New Roman" w:hAnsi="Times New Roman"/>
          <w:sz w:val="24"/>
          <w:szCs w:val="24"/>
        </w:rPr>
        <w:t>20</w:t>
      </w:r>
      <w:r w:rsidR="00DC7C12" w:rsidRPr="00737E4D">
        <w:rPr>
          <w:rFonts w:ascii="Times New Roman" w:hAnsi="Times New Roman"/>
          <w:sz w:val="24"/>
          <w:szCs w:val="24"/>
        </w:rPr>
        <w:t xml:space="preserve">, </w:t>
      </w:r>
      <w:r w:rsidR="00BA65A5" w:rsidRPr="00737E4D">
        <w:rPr>
          <w:rFonts w:ascii="Times New Roman" w:hAnsi="Times New Roman"/>
          <w:sz w:val="24"/>
          <w:szCs w:val="24"/>
        </w:rPr>
        <w:t>s výjimkou některých ustanovení, která nabývají účinnosti</w:t>
      </w:r>
      <w:r w:rsidR="00DC7C12" w:rsidRPr="00737E4D">
        <w:rPr>
          <w:rFonts w:ascii="Times New Roman" w:hAnsi="Times New Roman"/>
          <w:sz w:val="24"/>
          <w:szCs w:val="24"/>
        </w:rPr>
        <w:t xml:space="preserve"> </w:t>
      </w:r>
      <w:r w:rsidRPr="00737E4D">
        <w:rPr>
          <w:rFonts w:ascii="Times New Roman" w:hAnsi="Times New Roman"/>
          <w:sz w:val="24"/>
          <w:szCs w:val="24"/>
        </w:rPr>
        <w:t>v </w:t>
      </w:r>
      <w:r w:rsidR="00BA65A5" w:rsidRPr="00737E4D">
        <w:rPr>
          <w:rFonts w:ascii="Times New Roman" w:hAnsi="Times New Roman"/>
          <w:sz w:val="24"/>
          <w:szCs w:val="24"/>
        </w:rPr>
        <w:t>průběhu</w:t>
      </w:r>
      <w:r w:rsidR="00DC7C12" w:rsidRPr="00737E4D">
        <w:rPr>
          <w:rFonts w:ascii="Times New Roman" w:hAnsi="Times New Roman"/>
          <w:sz w:val="24"/>
          <w:szCs w:val="24"/>
        </w:rPr>
        <w:t xml:space="preserve"> roku 2020</w:t>
      </w:r>
      <w:r w:rsidR="00B83CBF" w:rsidRPr="00737E4D">
        <w:rPr>
          <w:rFonts w:ascii="Times New Roman" w:hAnsi="Times New Roman"/>
          <w:sz w:val="24"/>
          <w:szCs w:val="24"/>
        </w:rPr>
        <w:t xml:space="preserve"> nebo 2021</w:t>
      </w:r>
      <w:r w:rsidR="00DC7C12" w:rsidRPr="00737E4D">
        <w:rPr>
          <w:rFonts w:ascii="Times New Roman" w:hAnsi="Times New Roman"/>
          <w:sz w:val="24"/>
          <w:szCs w:val="24"/>
        </w:rPr>
        <w:t>.</w:t>
      </w:r>
      <w:r w:rsidR="00B11555" w:rsidRPr="00737E4D">
        <w:rPr>
          <w:rFonts w:ascii="Times New Roman" w:hAnsi="Times New Roman"/>
          <w:sz w:val="24"/>
          <w:szCs w:val="24"/>
        </w:rPr>
        <w:t xml:space="preserve"> Zařazením těchto změn do jednoho právního předpisu se pro daňové subjekty zvyšuje přehlednost, neboť nejsou prováděny řadou samostatných zákonů, ale jsou obsaženy </w:t>
      </w:r>
      <w:r w:rsidRPr="00737E4D">
        <w:rPr>
          <w:rFonts w:ascii="Times New Roman" w:hAnsi="Times New Roman"/>
          <w:sz w:val="24"/>
          <w:szCs w:val="24"/>
        </w:rPr>
        <w:t>v </w:t>
      </w:r>
      <w:r w:rsidR="00B11555" w:rsidRPr="00737E4D">
        <w:rPr>
          <w:rFonts w:ascii="Times New Roman" w:hAnsi="Times New Roman"/>
          <w:sz w:val="24"/>
          <w:szCs w:val="24"/>
        </w:rPr>
        <w:t>návrhu jednoho právního předpisu.</w:t>
      </w:r>
      <w:r w:rsidR="00696F8B" w:rsidRPr="00737E4D">
        <w:rPr>
          <w:rFonts w:ascii="Times New Roman" w:hAnsi="Times New Roman"/>
          <w:sz w:val="24"/>
          <w:szCs w:val="24"/>
        </w:rPr>
        <w:t xml:space="preserve"> To odpovídá závazku uvedenému v Programovém prohlášení vlády, podle kterého budou změny soustavy daňových zákonů prováděny několika málo souhrnnými novelami</w:t>
      </w:r>
      <w:r w:rsidR="00A80D53" w:rsidRPr="00737E4D">
        <w:rPr>
          <w:rFonts w:ascii="Times New Roman" w:hAnsi="Times New Roman"/>
          <w:sz w:val="24"/>
          <w:szCs w:val="24"/>
        </w:rPr>
        <w:t>.</w:t>
      </w:r>
    </w:p>
    <w:p w:rsidR="00B11555" w:rsidRPr="00737E4D" w:rsidRDefault="00B11555" w:rsidP="00737E4D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37E4D">
        <w:rPr>
          <w:rFonts w:ascii="Times New Roman" w:hAnsi="Times New Roman"/>
          <w:sz w:val="24"/>
          <w:szCs w:val="24"/>
        </w:rPr>
        <w:t>Níže jsou uvedeny hlavní změny obsažené v jednotlivých novelách, které jsou součástí návrhu.</w:t>
      </w:r>
    </w:p>
    <w:p w:rsidR="00794F91" w:rsidRPr="00737E4D" w:rsidRDefault="00B11555" w:rsidP="00737E4D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37E4D">
        <w:rPr>
          <w:rFonts w:ascii="Times New Roman" w:hAnsi="Times New Roman"/>
          <w:sz w:val="24"/>
          <w:szCs w:val="24"/>
        </w:rPr>
        <w:t xml:space="preserve">Novela zákona </w:t>
      </w:r>
      <w:r w:rsidR="00504080" w:rsidRPr="00737E4D">
        <w:rPr>
          <w:rFonts w:ascii="Times New Roman" w:hAnsi="Times New Roman"/>
          <w:sz w:val="24"/>
          <w:szCs w:val="24"/>
        </w:rPr>
        <w:t>o </w:t>
      </w:r>
      <w:r w:rsidRPr="00737E4D">
        <w:rPr>
          <w:rFonts w:ascii="Times New Roman" w:hAnsi="Times New Roman"/>
          <w:b/>
          <w:sz w:val="24"/>
          <w:szCs w:val="24"/>
        </w:rPr>
        <w:t>daních z příjmů</w:t>
      </w:r>
      <w:r w:rsidRPr="00737E4D">
        <w:rPr>
          <w:rFonts w:ascii="Times New Roman" w:hAnsi="Times New Roman"/>
          <w:sz w:val="24"/>
          <w:szCs w:val="24"/>
        </w:rPr>
        <w:t xml:space="preserve"> </w:t>
      </w:r>
      <w:r w:rsidR="003A6AC5" w:rsidRPr="00737E4D">
        <w:rPr>
          <w:rFonts w:ascii="Times New Roman" w:hAnsi="Times New Roman"/>
          <w:sz w:val="24"/>
          <w:szCs w:val="24"/>
        </w:rPr>
        <w:t>přináší</w:t>
      </w:r>
      <w:r w:rsidR="00195394" w:rsidRPr="00737E4D">
        <w:rPr>
          <w:rFonts w:ascii="Times New Roman" w:hAnsi="Times New Roman"/>
          <w:sz w:val="24"/>
          <w:szCs w:val="24"/>
        </w:rPr>
        <w:t xml:space="preserve"> sjednocení používané terminologie týkající se mezinárodních smluv a</w:t>
      </w:r>
      <w:r w:rsidR="003A6AC5" w:rsidRPr="00737E4D">
        <w:rPr>
          <w:rFonts w:ascii="Times New Roman" w:hAnsi="Times New Roman"/>
          <w:sz w:val="24"/>
          <w:szCs w:val="24"/>
        </w:rPr>
        <w:t xml:space="preserve"> doplnění transpozice směrnice proti praktikám vyhýbání se daňovým povinnostem, a to </w:t>
      </w:r>
      <w:r w:rsidR="00195394" w:rsidRPr="00737E4D">
        <w:rPr>
          <w:rFonts w:ascii="Times New Roman" w:hAnsi="Times New Roman"/>
          <w:sz w:val="24"/>
          <w:szCs w:val="24"/>
        </w:rPr>
        <w:t>doplnění</w:t>
      </w:r>
    </w:p>
    <w:p w:rsidR="003A6AC5" w:rsidRPr="00737E4D" w:rsidRDefault="003A6AC5" w:rsidP="00737E4D">
      <w:pPr>
        <w:pStyle w:val="Popisky"/>
        <w:widowControl w:val="0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737E4D">
        <w:rPr>
          <w:rFonts w:ascii="Times New Roman" w:hAnsi="Times New Roman"/>
          <w:sz w:val="24"/>
        </w:rPr>
        <w:t>pravidl</w:t>
      </w:r>
      <w:r w:rsidR="00195394" w:rsidRPr="00737E4D">
        <w:rPr>
          <w:rFonts w:ascii="Times New Roman" w:hAnsi="Times New Roman"/>
          <w:sz w:val="24"/>
        </w:rPr>
        <w:t xml:space="preserve">a </w:t>
      </w:r>
      <w:r w:rsidRPr="00737E4D">
        <w:rPr>
          <w:rFonts w:ascii="Times New Roman" w:hAnsi="Times New Roman"/>
          <w:sz w:val="24"/>
        </w:rPr>
        <w:t xml:space="preserve">omezení uznatelnosti výpůjčních výdajů o speciální úpravu pro osobní společnosti a jejich společníky a </w:t>
      </w:r>
    </w:p>
    <w:p w:rsidR="003A6AC5" w:rsidRPr="00737E4D" w:rsidRDefault="00195394" w:rsidP="00737E4D">
      <w:pPr>
        <w:pStyle w:val="Popisky"/>
        <w:widowControl w:val="0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737E4D">
        <w:rPr>
          <w:rFonts w:ascii="Times New Roman" w:hAnsi="Times New Roman"/>
          <w:sz w:val="24"/>
          <w:szCs w:val="24"/>
        </w:rPr>
        <w:t>úpravy zdanění ovládané zahraniční společnosti o zvláštní pravidlo pro případ, kdy je ovládající společností základní investiční fond.</w:t>
      </w:r>
    </w:p>
    <w:p w:rsidR="00322CC9" w:rsidRPr="00810296" w:rsidRDefault="00322CC9" w:rsidP="00322CC9">
      <w:pPr>
        <w:spacing w:after="120"/>
        <w:jc w:val="both"/>
        <w:rPr>
          <w:rFonts w:eastAsia="Calibri"/>
          <w:lang w:eastAsia="en-US"/>
        </w:rPr>
      </w:pPr>
      <w:r w:rsidRPr="00810296">
        <w:rPr>
          <w:rFonts w:eastAsia="Calibri"/>
          <w:lang w:eastAsia="en-US"/>
        </w:rPr>
        <w:t>V zákoně o </w:t>
      </w:r>
      <w:r w:rsidRPr="00810296">
        <w:rPr>
          <w:rFonts w:eastAsia="Calibri"/>
          <w:b/>
          <w:bCs/>
          <w:lang w:eastAsia="en-US"/>
        </w:rPr>
        <w:t>dani z přidané hodnoty</w:t>
      </w:r>
      <w:r w:rsidRPr="00810296">
        <w:rPr>
          <w:rFonts w:eastAsia="Calibri"/>
          <w:lang w:eastAsia="en-US"/>
        </w:rPr>
        <w:t xml:space="preserve"> se jedná o povinnou implementaci unijního práva a s ní související legislativně technické úpravy. Touto implementací dochází ke zlepšení stávajícího systému daně z přidané hodnoty v  oblasti intrakomunitárního dodání zboží zavedením dílčích opatření, a to</w:t>
      </w:r>
    </w:p>
    <w:p w:rsidR="00322CC9" w:rsidRPr="00810296" w:rsidRDefault="00322CC9" w:rsidP="00322CC9">
      <w:pPr>
        <w:numPr>
          <w:ilvl w:val="0"/>
          <w:numId w:val="1"/>
        </w:numPr>
        <w:spacing w:after="120"/>
        <w:ind w:left="357" w:hanging="357"/>
        <w:jc w:val="both"/>
        <w:rPr>
          <w:rFonts w:eastAsia="Calibri"/>
          <w:lang w:eastAsia="en-US"/>
        </w:rPr>
      </w:pPr>
      <w:r w:rsidRPr="00810296">
        <w:rPr>
          <w:rFonts w:eastAsia="Calibri"/>
          <w:lang w:eastAsia="en-US"/>
        </w:rPr>
        <w:t xml:space="preserve">zavedením dodatečných podmínek pro osvobození od daně při dodání zboží do jiného členského státu, </w:t>
      </w:r>
    </w:p>
    <w:p w:rsidR="00322CC9" w:rsidRPr="00810296" w:rsidRDefault="00322CC9" w:rsidP="00322CC9">
      <w:pPr>
        <w:numPr>
          <w:ilvl w:val="0"/>
          <w:numId w:val="1"/>
        </w:numPr>
        <w:spacing w:after="120"/>
        <w:ind w:left="357" w:hanging="357"/>
        <w:jc w:val="both"/>
        <w:rPr>
          <w:rFonts w:eastAsia="Calibri"/>
          <w:lang w:eastAsia="en-US"/>
        </w:rPr>
      </w:pPr>
      <w:r w:rsidRPr="00810296">
        <w:rPr>
          <w:rFonts w:eastAsia="Calibri"/>
          <w:lang w:eastAsia="en-US"/>
        </w:rPr>
        <w:t>harmonizací pravidel pro uplatňování daně z přidané hodnoty u po sobě jdoucích dodání v řetězci,</w:t>
      </w:r>
    </w:p>
    <w:p w:rsidR="00322CC9" w:rsidRPr="00810296" w:rsidRDefault="00322CC9" w:rsidP="00322CC9">
      <w:pPr>
        <w:numPr>
          <w:ilvl w:val="0"/>
          <w:numId w:val="1"/>
        </w:numPr>
        <w:spacing w:after="120"/>
        <w:ind w:left="357" w:hanging="357"/>
        <w:jc w:val="both"/>
        <w:rPr>
          <w:rFonts w:eastAsia="Calibri"/>
          <w:lang w:eastAsia="en-US"/>
        </w:rPr>
      </w:pPr>
      <w:r w:rsidRPr="00810296">
        <w:rPr>
          <w:rFonts w:eastAsia="Calibri"/>
          <w:lang w:eastAsia="en-US"/>
        </w:rPr>
        <w:t>harmonizací pravidel pro přemístění zboží za účelem jeho následného dodání (call</w:t>
      </w:r>
      <w:r w:rsidRPr="00810296">
        <w:rPr>
          <w:rFonts w:eastAsia="Calibri"/>
          <w:lang w:eastAsia="en-US"/>
        </w:rPr>
        <w:noBreakHyphen/>
      </w:r>
      <w:proofErr w:type="spellStart"/>
      <w:r w:rsidRPr="00810296">
        <w:rPr>
          <w:rFonts w:eastAsia="Calibri"/>
          <w:lang w:eastAsia="en-US"/>
        </w:rPr>
        <w:t>off</w:t>
      </w:r>
      <w:proofErr w:type="spellEnd"/>
      <w:r w:rsidRPr="00810296">
        <w:rPr>
          <w:rFonts w:eastAsia="Calibri"/>
          <w:lang w:eastAsia="en-US"/>
        </w:rPr>
        <w:t> </w:t>
      </w:r>
      <w:proofErr w:type="spellStart"/>
      <w:r w:rsidRPr="00810296">
        <w:rPr>
          <w:rFonts w:eastAsia="Calibri"/>
          <w:lang w:eastAsia="en-US"/>
        </w:rPr>
        <w:t>stock</w:t>
      </w:r>
      <w:proofErr w:type="spellEnd"/>
      <w:r w:rsidRPr="00810296">
        <w:rPr>
          <w:rFonts w:eastAsia="Calibri"/>
          <w:lang w:eastAsia="en-US"/>
        </w:rPr>
        <w:t xml:space="preserve"> sklady).</w:t>
      </w:r>
    </w:p>
    <w:p w:rsidR="00CB0C87" w:rsidRPr="00737E4D" w:rsidRDefault="00322CC9" w:rsidP="00BA03EF">
      <w:pPr>
        <w:pStyle w:val="Popisky"/>
        <w:spacing w:after="120"/>
        <w:jc w:val="both"/>
        <w:rPr>
          <w:rFonts w:ascii="Times New Roman" w:hAnsi="Times New Roman"/>
          <w:sz w:val="24"/>
          <w:szCs w:val="24"/>
        </w:rPr>
      </w:pPr>
      <w:r w:rsidRPr="00810296">
        <w:rPr>
          <w:rFonts w:ascii="Times New Roman" w:eastAsia="Calibri" w:hAnsi="Times New Roman"/>
          <w:sz w:val="24"/>
          <w:szCs w:val="24"/>
          <w:lang w:eastAsia="en-US"/>
        </w:rPr>
        <w:t>Dále se v návaznosti na nedávné rozsudky Soudního dvora Evropské unie upravuje v zákoně o </w:t>
      </w:r>
      <w:r w:rsidRPr="00810296">
        <w:rPr>
          <w:rFonts w:ascii="Times New Roman" w:eastAsia="Calibri" w:hAnsi="Times New Roman"/>
          <w:bCs/>
          <w:sz w:val="24"/>
          <w:szCs w:val="24"/>
          <w:lang w:eastAsia="en-US"/>
        </w:rPr>
        <w:t>dani z přidané hodnoty</w:t>
      </w:r>
      <w:r w:rsidRPr="00810296">
        <w:rPr>
          <w:rFonts w:ascii="Times New Roman" w:eastAsia="Calibri" w:hAnsi="Times New Roman"/>
          <w:sz w:val="24"/>
          <w:szCs w:val="24"/>
          <w:lang w:eastAsia="en-US"/>
        </w:rPr>
        <w:t xml:space="preserve"> zvláštní režim pro cestovní službu.</w:t>
      </w:r>
    </w:p>
    <w:p w:rsidR="00CB0C87" w:rsidRPr="00737E4D" w:rsidRDefault="00CB0C87" w:rsidP="00737E4D">
      <w:pPr>
        <w:spacing w:after="120"/>
        <w:jc w:val="both"/>
        <w:rPr>
          <w:rFonts w:ascii="Calibri" w:hAnsi="Calibri"/>
          <w:sz w:val="22"/>
          <w:szCs w:val="22"/>
        </w:rPr>
      </w:pPr>
      <w:r w:rsidRPr="00737E4D">
        <w:t>V zákoně o </w:t>
      </w:r>
      <w:r w:rsidRPr="00737E4D">
        <w:rPr>
          <w:b/>
          <w:bCs/>
        </w:rPr>
        <w:t>spotřebních daních</w:t>
      </w:r>
      <w:r w:rsidRPr="00737E4D">
        <w:t xml:space="preserve"> </w:t>
      </w:r>
      <w:r w:rsidR="00504080" w:rsidRPr="00737E4D">
        <w:t>a </w:t>
      </w:r>
      <w:r w:rsidRPr="00737E4D">
        <w:t xml:space="preserve">také v zákoně </w:t>
      </w:r>
      <w:r w:rsidR="00504080" w:rsidRPr="00737E4D">
        <w:t>o </w:t>
      </w:r>
      <w:r w:rsidRPr="00737E4D">
        <w:rPr>
          <w:b/>
          <w:bCs/>
        </w:rPr>
        <w:t xml:space="preserve">dani </w:t>
      </w:r>
      <w:r w:rsidR="00504080" w:rsidRPr="00737E4D">
        <w:rPr>
          <w:b/>
          <w:bCs/>
        </w:rPr>
        <w:t>z </w:t>
      </w:r>
      <w:r w:rsidRPr="00737E4D">
        <w:rPr>
          <w:b/>
          <w:bCs/>
        </w:rPr>
        <w:t>přidané hodnoty</w:t>
      </w:r>
      <w:r w:rsidRPr="00737E4D">
        <w:t xml:space="preserve"> dochází k implementaci unijního práva, které nově do celního území Evropské unie </w:t>
      </w:r>
      <w:r w:rsidR="00504080" w:rsidRPr="00737E4D">
        <w:t>a </w:t>
      </w:r>
      <w:r w:rsidRPr="00737E4D">
        <w:t xml:space="preserve">území Evropské unie zahrnuje italskou obec </w:t>
      </w:r>
      <w:proofErr w:type="spellStart"/>
      <w:r w:rsidRPr="00737E4D">
        <w:t>Campione</w:t>
      </w:r>
      <w:proofErr w:type="spellEnd"/>
      <w:r w:rsidRPr="00737E4D">
        <w:t xml:space="preserve"> </w:t>
      </w:r>
      <w:proofErr w:type="spellStart"/>
      <w:r w:rsidRPr="00737E4D">
        <w:t>d’Italia</w:t>
      </w:r>
      <w:proofErr w:type="spellEnd"/>
      <w:r w:rsidRPr="00737E4D">
        <w:t xml:space="preserve"> </w:t>
      </w:r>
      <w:r w:rsidR="00504080" w:rsidRPr="00737E4D">
        <w:t>a </w:t>
      </w:r>
      <w:r w:rsidRPr="00737E4D">
        <w:t xml:space="preserve">italské vody jezera </w:t>
      </w:r>
      <w:proofErr w:type="spellStart"/>
      <w:r w:rsidRPr="00737E4D">
        <w:t>Lugano</w:t>
      </w:r>
      <w:proofErr w:type="spellEnd"/>
      <w:r w:rsidRPr="00737E4D">
        <w:t>.</w:t>
      </w:r>
    </w:p>
    <w:p w:rsidR="00737E4D" w:rsidRPr="00737E4D" w:rsidRDefault="00737E4D" w:rsidP="00737E4D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37E4D">
        <w:rPr>
          <w:rFonts w:ascii="Times New Roman" w:hAnsi="Times New Roman"/>
          <w:sz w:val="24"/>
          <w:szCs w:val="24"/>
        </w:rPr>
        <w:t xml:space="preserve">V novele </w:t>
      </w:r>
      <w:r w:rsidRPr="00737E4D">
        <w:rPr>
          <w:rFonts w:ascii="Times New Roman" w:hAnsi="Times New Roman"/>
          <w:b/>
          <w:sz w:val="24"/>
          <w:szCs w:val="24"/>
        </w:rPr>
        <w:t>zákona o mezinárodní spolupráci</w:t>
      </w:r>
      <w:r w:rsidRPr="00737E4D">
        <w:rPr>
          <w:rFonts w:ascii="Times New Roman" w:hAnsi="Times New Roman"/>
          <w:sz w:val="24"/>
          <w:szCs w:val="24"/>
        </w:rPr>
        <w:t xml:space="preserve"> se zavádí nový okruh automaticky vyměňovaných informací, a sice informac</w:t>
      </w:r>
      <w:r w:rsidR="00133E61">
        <w:rPr>
          <w:rFonts w:ascii="Times New Roman" w:hAnsi="Times New Roman"/>
          <w:sz w:val="24"/>
          <w:szCs w:val="24"/>
        </w:rPr>
        <w:t>í</w:t>
      </w:r>
      <w:r w:rsidRPr="00737E4D">
        <w:rPr>
          <w:rFonts w:ascii="Times New Roman" w:hAnsi="Times New Roman"/>
          <w:sz w:val="24"/>
          <w:szCs w:val="24"/>
        </w:rPr>
        <w:t xml:space="preserve"> o oznamovaných přeshraničních uspořádáních podle směrnice Rady (EU) 2018/822 ze dne 25. května 2018, kterou se mění směrnice 2011/16/EU, pokud jde o povinnou automatickou výměnu informací v oblasti daní ve vztahu k přeshraničním uspořádáním, která se mají oznamovat (tzv. směrnice DAC 6).</w:t>
      </w:r>
    </w:p>
    <w:p w:rsidR="00744D85" w:rsidRPr="00737E4D" w:rsidRDefault="00737E4D" w:rsidP="00737E4D">
      <w:pPr>
        <w:pStyle w:val="Popisky"/>
        <w:widowControl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737E4D">
        <w:rPr>
          <w:rFonts w:ascii="Times New Roman" w:hAnsi="Times New Roman"/>
          <w:sz w:val="24"/>
          <w:szCs w:val="24"/>
        </w:rPr>
        <w:t xml:space="preserve">Novela </w:t>
      </w:r>
      <w:r w:rsidRPr="00737E4D">
        <w:rPr>
          <w:rFonts w:ascii="Times New Roman" w:hAnsi="Times New Roman"/>
          <w:b/>
          <w:sz w:val="24"/>
          <w:szCs w:val="24"/>
        </w:rPr>
        <w:t>zákona o zvláštních řízeních soudních</w:t>
      </w:r>
      <w:r w:rsidRPr="00737E4D">
        <w:rPr>
          <w:rFonts w:ascii="Times New Roman" w:hAnsi="Times New Roman"/>
          <w:sz w:val="24"/>
          <w:szCs w:val="24"/>
        </w:rPr>
        <w:t xml:space="preserve"> pak představuje pouze technickou novelu v návaznosti na transpozici směrnice Rady (EU) 2017/1852 ze dne 10. října 2017 o</w:t>
      </w:r>
      <w:r w:rsidR="00C06F2E">
        <w:rPr>
          <w:rFonts w:ascii="Times New Roman" w:hAnsi="Times New Roman"/>
          <w:sz w:val="24"/>
          <w:szCs w:val="24"/>
        </w:rPr>
        <w:t> </w:t>
      </w:r>
      <w:r w:rsidRPr="00737E4D">
        <w:rPr>
          <w:rFonts w:ascii="Times New Roman" w:hAnsi="Times New Roman"/>
          <w:sz w:val="24"/>
          <w:szCs w:val="24"/>
        </w:rPr>
        <w:t>mechanismech řešení daňových sporů v Evropské unii.</w:t>
      </w:r>
    </w:p>
    <w:sectPr w:rsidR="00744D85" w:rsidRPr="00737E4D" w:rsidSect="00582DE9">
      <w:footerReference w:type="default" r:id="rId8"/>
      <w:headerReference w:type="first" r:id="rId9"/>
      <w:pgSz w:w="11906" w:h="16838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5D1" w:rsidRDefault="002066F3">
      <w:r>
        <w:separator/>
      </w:r>
    </w:p>
  </w:endnote>
  <w:endnote w:type="continuationSeparator" w:id="0">
    <w:p w:rsidR="004115D1" w:rsidRDefault="0020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DE9" w:rsidRPr="00794F91" w:rsidRDefault="006868AC" w:rsidP="00582DE9">
    <w:pPr>
      <w:pStyle w:val="Podtitul"/>
      <w:rPr>
        <w:rFonts w:ascii="Times New Roman" w:hAnsi="Times New Roman"/>
        <w:sz w:val="20"/>
        <w:szCs w:val="20"/>
      </w:rPr>
    </w:pPr>
    <w:r w:rsidRPr="00794F91">
      <w:rPr>
        <w:rFonts w:ascii="Times New Roman" w:hAnsi="Times New Roman"/>
        <w:sz w:val="20"/>
        <w:szCs w:val="20"/>
      </w:rPr>
      <w:t xml:space="preserve">Stránka </w:t>
    </w:r>
    <w:r w:rsidRPr="00794F91">
      <w:rPr>
        <w:rFonts w:ascii="Times New Roman" w:hAnsi="Times New Roman"/>
        <w:sz w:val="20"/>
        <w:szCs w:val="20"/>
      </w:rPr>
      <w:fldChar w:fldCharType="begin"/>
    </w:r>
    <w:r w:rsidRPr="00794F91">
      <w:rPr>
        <w:rFonts w:ascii="Times New Roman" w:hAnsi="Times New Roman"/>
        <w:sz w:val="20"/>
        <w:szCs w:val="20"/>
      </w:rPr>
      <w:instrText>PAGE</w:instrText>
    </w:r>
    <w:r w:rsidRPr="00794F91">
      <w:rPr>
        <w:rFonts w:ascii="Times New Roman" w:hAnsi="Times New Roman"/>
        <w:sz w:val="20"/>
        <w:szCs w:val="20"/>
      </w:rPr>
      <w:fldChar w:fldCharType="separate"/>
    </w:r>
    <w:r w:rsidR="00322CC9">
      <w:rPr>
        <w:rFonts w:ascii="Times New Roman" w:hAnsi="Times New Roman"/>
        <w:noProof/>
        <w:sz w:val="20"/>
        <w:szCs w:val="20"/>
      </w:rPr>
      <w:t>2</w:t>
    </w:r>
    <w:r w:rsidRPr="00794F91">
      <w:rPr>
        <w:rFonts w:ascii="Times New Roman" w:hAnsi="Times New Roman"/>
        <w:sz w:val="20"/>
        <w:szCs w:val="20"/>
      </w:rPr>
      <w:fldChar w:fldCharType="end"/>
    </w:r>
    <w:r w:rsidRPr="00794F91">
      <w:rPr>
        <w:rFonts w:ascii="Times New Roman" w:hAnsi="Times New Roman"/>
        <w:sz w:val="20"/>
        <w:szCs w:val="20"/>
      </w:rPr>
      <w:t xml:space="preserve"> (celkem </w:t>
    </w:r>
    <w:r w:rsidRPr="00794F91">
      <w:rPr>
        <w:rFonts w:ascii="Times New Roman" w:hAnsi="Times New Roman"/>
        <w:sz w:val="20"/>
        <w:szCs w:val="20"/>
      </w:rPr>
      <w:fldChar w:fldCharType="begin"/>
    </w:r>
    <w:r w:rsidRPr="00794F91">
      <w:rPr>
        <w:rFonts w:ascii="Times New Roman" w:hAnsi="Times New Roman"/>
        <w:sz w:val="20"/>
        <w:szCs w:val="20"/>
      </w:rPr>
      <w:instrText>NUMPAGES</w:instrText>
    </w:r>
    <w:r w:rsidRPr="00794F91">
      <w:rPr>
        <w:rFonts w:ascii="Times New Roman" w:hAnsi="Times New Roman"/>
        <w:sz w:val="20"/>
        <w:szCs w:val="20"/>
      </w:rPr>
      <w:fldChar w:fldCharType="separate"/>
    </w:r>
    <w:r w:rsidR="00313396">
      <w:rPr>
        <w:rFonts w:ascii="Times New Roman" w:hAnsi="Times New Roman"/>
        <w:noProof/>
        <w:sz w:val="20"/>
        <w:szCs w:val="20"/>
      </w:rPr>
      <w:t>1</w:t>
    </w:r>
    <w:r w:rsidRPr="00794F91">
      <w:rPr>
        <w:rFonts w:ascii="Times New Roman" w:hAnsi="Times New Roman"/>
        <w:sz w:val="20"/>
        <w:szCs w:val="20"/>
      </w:rPr>
      <w:fldChar w:fldCharType="end"/>
    </w:r>
    <w:r w:rsidRPr="00794F91">
      <w:rPr>
        <w:rFonts w:ascii="Times New Roman" w:hAnsi="Times New Roman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5D1" w:rsidRDefault="002066F3">
      <w:r>
        <w:separator/>
      </w:r>
    </w:p>
  </w:footnote>
  <w:footnote w:type="continuationSeparator" w:id="0">
    <w:p w:rsidR="004115D1" w:rsidRDefault="00206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D4D" w:rsidRPr="00442D4D" w:rsidRDefault="006868AC" w:rsidP="00442D4D">
    <w:pPr>
      <w:pStyle w:val="Zhlav"/>
      <w:jc w:val="right"/>
      <w:rPr>
        <w:b/>
      </w:rPr>
    </w:pPr>
    <w:r w:rsidRPr="00442D4D">
      <w:rPr>
        <w:b/>
      </w:rPr>
      <w:t>II.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54E8B"/>
    <w:multiLevelType w:val="hybridMultilevel"/>
    <w:tmpl w:val="EF8A37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1202CD"/>
    <w:multiLevelType w:val="hybridMultilevel"/>
    <w:tmpl w:val="6CBAA2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4F9"/>
    <w:rsid w:val="00133E61"/>
    <w:rsid w:val="00142376"/>
    <w:rsid w:val="00143BBB"/>
    <w:rsid w:val="0015261E"/>
    <w:rsid w:val="00177DDE"/>
    <w:rsid w:val="00195394"/>
    <w:rsid w:val="001B052E"/>
    <w:rsid w:val="002066F3"/>
    <w:rsid w:val="002222F0"/>
    <w:rsid w:val="0025446E"/>
    <w:rsid w:val="00263C53"/>
    <w:rsid w:val="00264A11"/>
    <w:rsid w:val="002C3270"/>
    <w:rsid w:val="002D1EA5"/>
    <w:rsid w:val="00313396"/>
    <w:rsid w:val="00322CC9"/>
    <w:rsid w:val="00390364"/>
    <w:rsid w:val="003A6AC5"/>
    <w:rsid w:val="003B40CA"/>
    <w:rsid w:val="003E11CF"/>
    <w:rsid w:val="003E780C"/>
    <w:rsid w:val="0040214B"/>
    <w:rsid w:val="004115D1"/>
    <w:rsid w:val="00435CFA"/>
    <w:rsid w:val="00446441"/>
    <w:rsid w:val="00454E53"/>
    <w:rsid w:val="0046136A"/>
    <w:rsid w:val="00472962"/>
    <w:rsid w:val="00492152"/>
    <w:rsid w:val="004A2234"/>
    <w:rsid w:val="004B2BA9"/>
    <w:rsid w:val="004D48F4"/>
    <w:rsid w:val="00504080"/>
    <w:rsid w:val="00532FCC"/>
    <w:rsid w:val="005C6EFB"/>
    <w:rsid w:val="0062785C"/>
    <w:rsid w:val="00676919"/>
    <w:rsid w:val="006868AC"/>
    <w:rsid w:val="00696F8B"/>
    <w:rsid w:val="00710A68"/>
    <w:rsid w:val="00737E4D"/>
    <w:rsid w:val="00744D85"/>
    <w:rsid w:val="00751C72"/>
    <w:rsid w:val="00757634"/>
    <w:rsid w:val="00785222"/>
    <w:rsid w:val="00794F91"/>
    <w:rsid w:val="007B627F"/>
    <w:rsid w:val="007B67A7"/>
    <w:rsid w:val="00845D0D"/>
    <w:rsid w:val="008D4AB2"/>
    <w:rsid w:val="008D5A5D"/>
    <w:rsid w:val="00904CD1"/>
    <w:rsid w:val="009425EB"/>
    <w:rsid w:val="009824B0"/>
    <w:rsid w:val="009B17DF"/>
    <w:rsid w:val="00A80D53"/>
    <w:rsid w:val="00AA177F"/>
    <w:rsid w:val="00B11555"/>
    <w:rsid w:val="00B83CBF"/>
    <w:rsid w:val="00BA03EF"/>
    <w:rsid w:val="00BA3541"/>
    <w:rsid w:val="00BA65A5"/>
    <w:rsid w:val="00C06F2E"/>
    <w:rsid w:val="00C2135F"/>
    <w:rsid w:val="00C4693D"/>
    <w:rsid w:val="00C476AB"/>
    <w:rsid w:val="00C65B01"/>
    <w:rsid w:val="00CB0C87"/>
    <w:rsid w:val="00CC7419"/>
    <w:rsid w:val="00CE3D9B"/>
    <w:rsid w:val="00D14268"/>
    <w:rsid w:val="00D542AF"/>
    <w:rsid w:val="00DA6E13"/>
    <w:rsid w:val="00DC7C12"/>
    <w:rsid w:val="00DF48CC"/>
    <w:rsid w:val="00E1598D"/>
    <w:rsid w:val="00E2416E"/>
    <w:rsid w:val="00E45017"/>
    <w:rsid w:val="00E71222"/>
    <w:rsid w:val="00EA4055"/>
    <w:rsid w:val="00EC27DB"/>
    <w:rsid w:val="00F3132E"/>
    <w:rsid w:val="00F54534"/>
    <w:rsid w:val="00F875F9"/>
    <w:rsid w:val="00FC0058"/>
    <w:rsid w:val="00FC1633"/>
    <w:rsid w:val="00FE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titulChar">
    <w:name w:val="Podtitul Char"/>
    <w:basedOn w:val="Standardnpsmoodstavce"/>
    <w:link w:val="Podtitul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76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F9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7691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67691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dtitul">
    <w:name w:val="Subtitle"/>
    <w:basedOn w:val="Normln"/>
    <w:next w:val="Normln"/>
    <w:link w:val="PodtitulChar"/>
    <w:uiPriority w:val="11"/>
    <w:qFormat/>
    <w:rsid w:val="00676919"/>
    <w:pPr>
      <w:spacing w:after="60"/>
      <w:jc w:val="center"/>
      <w:outlineLvl w:val="1"/>
    </w:pPr>
    <w:rPr>
      <w:rFonts w:ascii="Cambria" w:hAnsi="Cambria"/>
    </w:rPr>
  </w:style>
  <w:style w:type="character" w:customStyle="1" w:styleId="PodtitulChar">
    <w:name w:val="Podtitul Char"/>
    <w:basedOn w:val="Standardnpsmoodstavce"/>
    <w:link w:val="Podtitul"/>
    <w:uiPriority w:val="11"/>
    <w:rsid w:val="00676919"/>
    <w:rPr>
      <w:rFonts w:ascii="Cambria" w:eastAsia="Times New Roman" w:hAnsi="Cambria" w:cs="Times New Roman"/>
      <w:sz w:val="24"/>
      <w:szCs w:val="24"/>
      <w:lang w:eastAsia="cs-CZ"/>
    </w:rPr>
  </w:style>
  <w:style w:type="paragraph" w:customStyle="1" w:styleId="Popisky">
    <w:name w:val="Popisky"/>
    <w:uiPriority w:val="99"/>
    <w:rsid w:val="00C65B0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3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364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435C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35CF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35C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5C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5CF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F9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94F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F9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1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421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Janáčková Kateřina Ing. Mgr.</dc:creator>
  <cp:lastModifiedBy>Mairovský Štěpán Mgr.</cp:lastModifiedBy>
  <cp:revision>9</cp:revision>
  <cp:lastPrinted>2019-03-07T13:14:00Z</cp:lastPrinted>
  <dcterms:created xsi:type="dcterms:W3CDTF">2019-02-27T13:34:00Z</dcterms:created>
  <dcterms:modified xsi:type="dcterms:W3CDTF">2019-03-07T13:15:00Z</dcterms:modified>
</cp:coreProperties>
</file>