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831FAE9" w14:textId="77777777" w:rsidR="00D80308" w:rsidRPr="008B5B70" w:rsidRDefault="00D80308" w:rsidP="005944F8">
      <w:pPr>
        <w:pStyle w:val="Text"/>
        <w:spacing w:line="240" w:lineRule="auto"/>
      </w:pPr>
      <w:bookmarkStart w:id="0" w:name="_GoBack"/>
    </w:p>
    <w:p w14:paraId="3073AE16" w14:textId="7A74261B" w:rsidR="00D80308" w:rsidRPr="008B5B70" w:rsidRDefault="000C08F9" w:rsidP="005944F8">
      <w:pPr>
        <w:pStyle w:val="Documenttitle"/>
        <w:spacing w:line="240" w:lineRule="auto"/>
        <w:rPr>
          <w:color w:val="75787B" w:themeColor="accent6"/>
          <w:lang w:val="cs-CZ"/>
        </w:rPr>
      </w:pPr>
      <w:r w:rsidRPr="008B5B70">
        <w:rPr>
          <w:color w:val="75787B" w:themeColor="accent6"/>
          <w:lang w:val="cs-CZ"/>
        </w:rPr>
        <w:t>Příloha</w:t>
      </w:r>
    </w:p>
    <w:bookmarkEnd w:id="0"/>
    <w:p w14:paraId="146940D8" w14:textId="77777777" w:rsidR="00D25DB9" w:rsidRPr="008B5B70" w:rsidRDefault="00D25DB9" w:rsidP="00D571A5">
      <w:pPr>
        <w:pStyle w:val="Bezmezer"/>
        <w:rPr>
          <w:lang w:val="cs-CZ" w:eastAsia="cs-CZ"/>
        </w:rPr>
      </w:pPr>
    </w:p>
    <w:p w14:paraId="12AE1BCC" w14:textId="5D7BD757" w:rsidR="00691AC5" w:rsidRPr="008B5B70" w:rsidRDefault="000C08F9" w:rsidP="005944F8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/>
          <w:bCs/>
          <w:color w:val="000000"/>
          <w:sz w:val="28"/>
          <w:szCs w:val="20"/>
          <w:lang w:val="cs-CZ"/>
        </w:rPr>
      </w:pPr>
      <w:r w:rsidRPr="008B5B70">
        <w:rPr>
          <w:rFonts w:ascii="Verdana" w:hAnsi="Verdana"/>
          <w:b/>
          <w:bCs/>
          <w:color w:val="000000"/>
          <w:sz w:val="28"/>
          <w:szCs w:val="20"/>
          <w:lang w:val="cs-CZ"/>
        </w:rPr>
        <w:t>D</w:t>
      </w:r>
      <w:r w:rsidR="00EE14DD" w:rsidRPr="008B5B70">
        <w:rPr>
          <w:rFonts w:ascii="Verdana" w:hAnsi="Verdana"/>
          <w:b/>
          <w:bCs/>
          <w:color w:val="000000"/>
          <w:sz w:val="28"/>
          <w:szCs w:val="20"/>
          <w:lang w:val="cs-CZ"/>
        </w:rPr>
        <w:t>esátý</w:t>
      </w:r>
      <w:r w:rsidRPr="008B5B70">
        <w:rPr>
          <w:rFonts w:ascii="Verdana" w:hAnsi="Verdana"/>
          <w:b/>
          <w:bCs/>
          <w:color w:val="000000"/>
          <w:sz w:val="28"/>
          <w:szCs w:val="20"/>
          <w:lang w:val="cs-CZ"/>
        </w:rPr>
        <w:t xml:space="preserve"> ročník ankety Zákon roku</w:t>
      </w:r>
    </w:p>
    <w:p w14:paraId="58EE890A" w14:textId="2E6C0FCF" w:rsidR="007F7E56" w:rsidRPr="008B5B70" w:rsidRDefault="007F7E56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</w:p>
    <w:p w14:paraId="02A741B5" w14:textId="5589EFF9" w:rsidR="008B5B70" w:rsidRPr="008B5B70" w:rsidRDefault="008B5B70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/>
          <w:bCs/>
          <w:color w:val="000000"/>
          <w:szCs w:val="20"/>
          <w:lang w:val="cs-CZ"/>
        </w:rPr>
      </w:pPr>
      <w:r w:rsidRPr="008B5B70">
        <w:rPr>
          <w:rFonts w:ascii="Verdana" w:hAnsi="Verdana"/>
          <w:b/>
          <w:bCs/>
          <w:color w:val="000000"/>
          <w:szCs w:val="20"/>
          <w:lang w:val="cs-CZ"/>
        </w:rPr>
        <w:t>Nominace:</w:t>
      </w:r>
    </w:p>
    <w:p w14:paraId="72452C8F" w14:textId="77777777" w:rsidR="008B5B70" w:rsidRPr="008B5B70" w:rsidRDefault="008B5B70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</w:p>
    <w:p w14:paraId="5DF44BE7" w14:textId="01DEA5C4" w:rsidR="008B5B70" w:rsidRPr="008B5B70" w:rsidRDefault="008B5B70" w:rsidP="008B5B70">
      <w:pPr>
        <w:spacing w:line="252" w:lineRule="atLeast"/>
        <w:rPr>
          <w:rFonts w:ascii="Verdana" w:eastAsia="Times New Roman" w:hAnsi="Verdana"/>
          <w:b/>
          <w:bCs/>
          <w:color w:val="000000"/>
          <w:sz w:val="20"/>
          <w:szCs w:val="20"/>
          <w:u w:val="single"/>
          <w:lang w:val="cs-CZ"/>
        </w:rPr>
      </w:pPr>
      <w:r w:rsidRPr="008B5B70">
        <w:rPr>
          <w:rFonts w:ascii="Verdana" w:eastAsia="Times New Roman" w:hAnsi="Verdana"/>
          <w:b/>
          <w:bCs/>
          <w:color w:val="000000"/>
          <w:sz w:val="20"/>
          <w:szCs w:val="20"/>
          <w:u w:val="single"/>
          <w:lang w:val="cs-CZ"/>
        </w:rPr>
        <w:t>Předvídatelné podnikatelské prostředí: balíček oběhového hospodářství EU vytvářející dlouhodobou koncepci evropského hospodářství</w:t>
      </w:r>
    </w:p>
    <w:p w14:paraId="0010C333" w14:textId="77777777" w:rsidR="008B5B70" w:rsidRPr="008B5B70" w:rsidRDefault="008B5B70" w:rsidP="008B5B70">
      <w:pPr>
        <w:spacing w:line="252" w:lineRule="atLeast"/>
        <w:rPr>
          <w:rFonts w:ascii="Verdana" w:hAnsi="Verdana"/>
          <w:i/>
          <w:noProof/>
          <w:sz w:val="20"/>
          <w:szCs w:val="20"/>
          <w:lang w:val="cs-CZ"/>
        </w:rPr>
      </w:pPr>
    </w:p>
    <w:p w14:paraId="1E1D2CAF" w14:textId="77CA40B6" w:rsidR="008B5B70" w:rsidRPr="008B5B70" w:rsidRDefault="008B5B70" w:rsidP="008B5B70">
      <w:pPr>
        <w:spacing w:line="252" w:lineRule="atLeast"/>
        <w:rPr>
          <w:rFonts w:ascii="Verdana" w:hAnsi="Verdana"/>
          <w:bCs/>
          <w:i/>
          <w:noProof/>
          <w:sz w:val="20"/>
          <w:szCs w:val="20"/>
          <w:lang w:val="cs-CZ"/>
        </w:rPr>
      </w:pPr>
      <w:r w:rsidRPr="008B5B70">
        <w:rPr>
          <w:rFonts w:ascii="Verdana" w:hAnsi="Verdana"/>
          <w:i/>
          <w:noProof/>
          <w:sz w:val="20"/>
          <w:szCs w:val="20"/>
          <w:lang w:val="cs-CZ"/>
        </w:rPr>
        <w:t>Předpis: Evropský balíček oběhového hospodářství:</w:t>
      </w:r>
    </w:p>
    <w:p w14:paraId="6047EF0B" w14:textId="77777777" w:rsidR="008B5B70" w:rsidRPr="008B5B70" w:rsidRDefault="008B5B70" w:rsidP="008B5B70">
      <w:pPr>
        <w:pStyle w:val="Odstavecseseznamem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2" w:lineRule="atLeast"/>
        <w:contextualSpacing/>
        <w:rPr>
          <w:i/>
          <w:noProof/>
          <w:sz w:val="20"/>
          <w:szCs w:val="20"/>
          <w:lang w:val="cs-CZ"/>
        </w:rPr>
      </w:pPr>
      <w:r w:rsidRPr="008B5B70">
        <w:rPr>
          <w:bCs/>
          <w:i/>
          <w:noProof/>
          <w:sz w:val="20"/>
          <w:szCs w:val="20"/>
          <w:lang w:val="cs-CZ"/>
        </w:rPr>
        <w:t>Směrnice Evropského parlamentu a Rady (EU) 2018/849 ze dne 30. května 2018, kterou se mění směrnice 2000/53/ES o vozidlech s ukončenou životností, 2006/66/ES o bateriích a akumulátorech a odpadních bateriích a akumulátorech a 2012/19/EU o odpadních elektrických a elektronických zařízeních</w:t>
      </w:r>
    </w:p>
    <w:p w14:paraId="42AA6CAF" w14:textId="77777777" w:rsidR="008B5B70" w:rsidRPr="008B5B70" w:rsidRDefault="008B5B70" w:rsidP="008B5B70">
      <w:pPr>
        <w:pStyle w:val="Odstavecseseznamem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2" w:lineRule="atLeast"/>
        <w:contextualSpacing/>
        <w:rPr>
          <w:i/>
          <w:noProof/>
          <w:sz w:val="20"/>
          <w:szCs w:val="20"/>
          <w:lang w:val="cs-CZ"/>
        </w:rPr>
      </w:pPr>
      <w:r w:rsidRPr="008B5B70">
        <w:rPr>
          <w:bCs/>
          <w:i/>
          <w:noProof/>
          <w:sz w:val="20"/>
          <w:szCs w:val="20"/>
          <w:lang w:val="cs-CZ"/>
        </w:rPr>
        <w:t>Směrnice Evropského parlamentu a Rady (EU) 2018/850 ze dne 30. května 2018, kterou se mění směrnice 1999/31/ES o skládkách odpadů</w:t>
      </w:r>
    </w:p>
    <w:p w14:paraId="1F1860CD" w14:textId="77777777" w:rsidR="008B5B70" w:rsidRPr="008B5B70" w:rsidRDefault="008B5B70" w:rsidP="008B5B70">
      <w:pPr>
        <w:pStyle w:val="Odstavecseseznamem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2" w:lineRule="atLeast"/>
        <w:contextualSpacing/>
        <w:rPr>
          <w:i/>
          <w:noProof/>
          <w:sz w:val="20"/>
          <w:szCs w:val="20"/>
          <w:lang w:val="cs-CZ"/>
        </w:rPr>
      </w:pPr>
      <w:r w:rsidRPr="008B5B70">
        <w:rPr>
          <w:bCs/>
          <w:i/>
          <w:noProof/>
          <w:sz w:val="20"/>
          <w:szCs w:val="20"/>
          <w:lang w:val="cs-CZ"/>
        </w:rPr>
        <w:t>Směrnice Evropského parlamentu a Rady (EU) 2018/851 ze dne 30. května 2018, kterou se mění směrnice 2008/98/ES o odpadech</w:t>
      </w:r>
    </w:p>
    <w:p w14:paraId="0546492E" w14:textId="77777777" w:rsidR="008B5B70" w:rsidRPr="008B5B70" w:rsidRDefault="008B5B70" w:rsidP="008B5B70">
      <w:pPr>
        <w:pStyle w:val="Odstavecseseznamem"/>
        <w:numPr>
          <w:ilvl w:val="0"/>
          <w:numId w:val="21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252" w:lineRule="atLeast"/>
        <w:contextualSpacing/>
        <w:rPr>
          <w:i/>
          <w:noProof/>
          <w:sz w:val="20"/>
          <w:szCs w:val="20"/>
          <w:lang w:val="cs-CZ"/>
        </w:rPr>
      </w:pPr>
      <w:r w:rsidRPr="008B5B70">
        <w:rPr>
          <w:bCs/>
          <w:i/>
          <w:noProof/>
          <w:sz w:val="20"/>
          <w:szCs w:val="20"/>
          <w:lang w:val="cs-CZ"/>
        </w:rPr>
        <w:t>Směrnice Evropského parlamentu a Rady (EU) 2018/852 ze dne 30. května 2018, kterou se mění směrnice 94/62/ES o obalech a obalových odpadech</w:t>
      </w:r>
    </w:p>
    <w:p w14:paraId="74721FBB" w14:textId="77777777" w:rsidR="008B5B70" w:rsidRPr="008B5B70" w:rsidRDefault="008B5B70" w:rsidP="008B5B70">
      <w:pPr>
        <w:spacing w:line="252" w:lineRule="atLeast"/>
        <w:rPr>
          <w:rFonts w:ascii="Verdana" w:hAnsi="Verdana"/>
          <w:i/>
          <w:noProof/>
          <w:sz w:val="20"/>
          <w:szCs w:val="20"/>
          <w:lang w:val="cs-CZ"/>
        </w:rPr>
      </w:pPr>
    </w:p>
    <w:p w14:paraId="593847B6" w14:textId="77777777" w:rsidR="008B5B70" w:rsidRPr="008B5B70" w:rsidRDefault="008B5B70" w:rsidP="008B5B70">
      <w:pPr>
        <w:spacing w:line="252" w:lineRule="atLeast"/>
        <w:rPr>
          <w:rFonts w:ascii="Verdana" w:hAnsi="Verdana"/>
          <w:i/>
          <w:noProof/>
          <w:sz w:val="20"/>
          <w:szCs w:val="20"/>
          <w:lang w:val="cs-CZ"/>
        </w:rPr>
      </w:pPr>
      <w:r w:rsidRPr="008B5B70">
        <w:rPr>
          <w:rFonts w:ascii="Verdana" w:hAnsi="Verdana"/>
          <w:i/>
          <w:noProof/>
          <w:sz w:val="20"/>
          <w:szCs w:val="20"/>
          <w:lang w:val="cs-CZ"/>
        </w:rPr>
        <w:t>Autor: Evropská komise</w:t>
      </w:r>
    </w:p>
    <w:p w14:paraId="76B41A85" w14:textId="77777777" w:rsidR="008B5B70" w:rsidRDefault="008B5B70" w:rsidP="008B5B70">
      <w:pPr>
        <w:rPr>
          <w:rFonts w:ascii="Verdana" w:eastAsia="Times New Roman" w:hAnsi="Verdana"/>
          <w:i/>
          <w:color w:val="000000"/>
          <w:sz w:val="20"/>
          <w:szCs w:val="20"/>
          <w:lang w:val="cs-CZ"/>
        </w:rPr>
      </w:pPr>
    </w:p>
    <w:p w14:paraId="5F23F7D8" w14:textId="3AA8BEFF" w:rsidR="008B5B70" w:rsidRPr="008B5B70" w:rsidRDefault="008B5B70" w:rsidP="008B5B70">
      <w:pPr>
        <w:rPr>
          <w:rFonts w:ascii="Verdana" w:hAnsi="Verdana"/>
          <w:sz w:val="20"/>
          <w:szCs w:val="20"/>
          <w:lang w:val="cs-CZ"/>
        </w:rPr>
      </w:pPr>
      <w:r w:rsidRPr="008B5B70">
        <w:rPr>
          <w:rFonts w:ascii="Verdana" w:eastAsia="Times New Roman" w:hAnsi="Verdana"/>
          <w:i/>
          <w:color w:val="000000"/>
          <w:sz w:val="20"/>
          <w:szCs w:val="20"/>
          <w:lang w:val="cs-CZ"/>
        </w:rPr>
        <w:t>Zdůvodnění:</w:t>
      </w:r>
      <w:r w:rsidRPr="008B5B70">
        <w:rPr>
          <w:rFonts w:ascii="Verdana" w:eastAsia="Times New Roman" w:hAnsi="Verdana"/>
          <w:color w:val="000000"/>
          <w:sz w:val="20"/>
          <w:szCs w:val="20"/>
          <w:lang w:val="cs-CZ"/>
        </w:rPr>
        <w:t xml:space="preserve"> Evropa si nastavila závazný rámec pro přechod k surovinově soběstačnému a udržitelnému hospodářství. Model „vezmi-vyrob-použij-zahoď“ z dob průmyslové revoluce bude v nejširších aspektech ekonomiky postupně transformován k eliminaci odpadu a opětovnému využívání hodnotných zdrojů. Vytváří se unikání prostor pro inovaci firem a pro kompetitivní náskok a růst evropského průmyslu. Koncepce vytváří předvídatelné podnikatelské prostředí umožňující firmám přijímat správná strategická rozhodnutí. Aby se záměr naplnil, potřebují se teď ještě firmy zasadit o jeho správnou implementaci do českých podmínek využívání zdrojů, </w:t>
      </w:r>
      <w:proofErr w:type="spellStart"/>
      <w:r w:rsidRPr="008B5B70">
        <w:rPr>
          <w:rFonts w:ascii="Verdana" w:eastAsia="Times New Roman" w:hAnsi="Verdana"/>
          <w:color w:val="000000"/>
          <w:sz w:val="20"/>
          <w:szCs w:val="20"/>
          <w:lang w:val="cs-CZ"/>
        </w:rPr>
        <w:t>ekodesignu</w:t>
      </w:r>
      <w:proofErr w:type="spellEnd"/>
      <w:r w:rsidRPr="008B5B70">
        <w:rPr>
          <w:rFonts w:ascii="Verdana" w:eastAsia="Times New Roman" w:hAnsi="Verdana"/>
          <w:color w:val="000000"/>
          <w:sz w:val="20"/>
          <w:szCs w:val="20"/>
          <w:lang w:val="cs-CZ"/>
        </w:rPr>
        <w:t xml:space="preserve"> a nakládání s odpadem. </w:t>
      </w:r>
    </w:p>
    <w:p w14:paraId="01E7F470" w14:textId="77777777" w:rsidR="008B5B70" w:rsidRPr="008B5B70" w:rsidRDefault="008B5B70" w:rsidP="008B5B70">
      <w:pPr>
        <w:spacing w:line="252" w:lineRule="atLeast"/>
        <w:rPr>
          <w:rFonts w:ascii="Verdana" w:hAnsi="Verdana"/>
          <w:b/>
          <w:bCs/>
          <w:color w:val="000000"/>
          <w:sz w:val="20"/>
          <w:szCs w:val="20"/>
          <w:lang w:val="cs-CZ"/>
        </w:rPr>
      </w:pPr>
    </w:p>
    <w:p w14:paraId="3A990D6F" w14:textId="77777777" w:rsidR="008B5B70" w:rsidRPr="008B5B70" w:rsidRDefault="008B5B70" w:rsidP="008B5B70">
      <w:pPr>
        <w:spacing w:line="252" w:lineRule="atLeast"/>
        <w:rPr>
          <w:rFonts w:ascii="Verdana" w:hAnsi="Verdana"/>
          <w:b/>
          <w:bCs/>
          <w:color w:val="000000"/>
          <w:sz w:val="20"/>
          <w:szCs w:val="20"/>
          <w:u w:val="single"/>
          <w:lang w:val="cs-CZ"/>
        </w:rPr>
      </w:pPr>
      <w:r w:rsidRPr="008B5B70">
        <w:rPr>
          <w:rFonts w:ascii="Verdana" w:hAnsi="Verdana"/>
          <w:b/>
          <w:bCs/>
          <w:color w:val="000000"/>
          <w:sz w:val="20"/>
          <w:szCs w:val="20"/>
          <w:u w:val="single"/>
          <w:lang w:val="cs-CZ"/>
        </w:rPr>
        <w:t>Funkční infrastruktura: změna zákona o urychlení výstavby dopravní, vodní a energetické infrastruktury</w:t>
      </w:r>
    </w:p>
    <w:p w14:paraId="2547EC7F" w14:textId="77777777" w:rsidR="008B5B70" w:rsidRDefault="008B5B70" w:rsidP="008B5B70">
      <w:pPr>
        <w:spacing w:line="252" w:lineRule="atLeast"/>
        <w:rPr>
          <w:rFonts w:ascii="Verdana" w:hAnsi="Verdana"/>
          <w:i/>
          <w:iCs/>
          <w:sz w:val="20"/>
          <w:szCs w:val="20"/>
          <w:lang w:val="cs-CZ"/>
        </w:rPr>
      </w:pPr>
    </w:p>
    <w:p w14:paraId="1CA51D44" w14:textId="24672D77" w:rsidR="008B5B70" w:rsidRPr="008B5B70" w:rsidRDefault="008B5B70" w:rsidP="008B5B70">
      <w:pPr>
        <w:spacing w:line="252" w:lineRule="atLeast"/>
        <w:rPr>
          <w:rFonts w:ascii="Verdana" w:hAnsi="Verdana"/>
          <w:i/>
          <w:iCs/>
          <w:sz w:val="20"/>
          <w:szCs w:val="20"/>
          <w:lang w:val="cs-CZ"/>
        </w:rPr>
      </w:pPr>
      <w:r w:rsidRPr="008B5B70">
        <w:rPr>
          <w:rFonts w:ascii="Verdana" w:hAnsi="Verdana"/>
          <w:i/>
          <w:iCs/>
          <w:sz w:val="20"/>
          <w:szCs w:val="20"/>
          <w:lang w:val="cs-CZ"/>
        </w:rPr>
        <w:t>Předpis: Zákon č. 169/2018 Sb., kterým se mění zákon č. 416/2009 Sb., o urychlení výstavby dopravní, vodní a energetické infrastruktury a infrastruktury elektronických komunikací, ve znění pozdějších předpisů, a další související zákony</w:t>
      </w:r>
      <w:r w:rsidRPr="008B5B70">
        <w:rPr>
          <w:rFonts w:ascii="Verdana" w:hAnsi="Verdana" w:cs="Helvetica"/>
          <w:color w:val="333333"/>
          <w:sz w:val="20"/>
          <w:szCs w:val="20"/>
          <w:lang w:val="cs-CZ"/>
        </w:rPr>
        <w:t xml:space="preserve"> </w:t>
      </w:r>
      <w:r w:rsidRPr="008B5B70">
        <w:rPr>
          <w:rFonts w:ascii="Verdana" w:hAnsi="Verdana"/>
          <w:i/>
          <w:iCs/>
          <w:sz w:val="20"/>
          <w:szCs w:val="20"/>
          <w:lang w:val="cs-CZ"/>
        </w:rPr>
        <w:t>(resp. jeho část, která se týká výstavby dopravní infrastruktury)</w:t>
      </w:r>
    </w:p>
    <w:p w14:paraId="743FD3B6" w14:textId="77777777" w:rsidR="008B5B70" w:rsidRDefault="008B5B70" w:rsidP="008B5B70">
      <w:pPr>
        <w:spacing w:line="252" w:lineRule="atLeast"/>
        <w:rPr>
          <w:rFonts w:ascii="Verdana" w:hAnsi="Verdana"/>
          <w:i/>
          <w:iCs/>
          <w:sz w:val="20"/>
          <w:szCs w:val="20"/>
          <w:lang w:val="cs-CZ"/>
        </w:rPr>
      </w:pPr>
    </w:p>
    <w:p w14:paraId="05607E31" w14:textId="47ADDE8E" w:rsidR="008B5B70" w:rsidRPr="008B5B70" w:rsidRDefault="008B5B70" w:rsidP="008B5B70">
      <w:pPr>
        <w:spacing w:line="252" w:lineRule="atLeast"/>
        <w:rPr>
          <w:rFonts w:ascii="Verdana" w:hAnsi="Verdana"/>
          <w:i/>
          <w:iCs/>
          <w:sz w:val="20"/>
          <w:szCs w:val="20"/>
          <w:lang w:val="cs-CZ"/>
        </w:rPr>
      </w:pPr>
      <w:r w:rsidRPr="008B5B70">
        <w:rPr>
          <w:rFonts w:ascii="Verdana" w:hAnsi="Verdana"/>
          <w:i/>
          <w:iCs/>
          <w:sz w:val="20"/>
          <w:szCs w:val="20"/>
          <w:lang w:val="cs-CZ"/>
        </w:rPr>
        <w:t xml:space="preserve">Autor: 17 poslanců - Martin Kolovratník, Dan </w:t>
      </w:r>
      <w:proofErr w:type="spellStart"/>
      <w:r w:rsidRPr="008B5B70">
        <w:rPr>
          <w:rFonts w:ascii="Verdana" w:hAnsi="Verdana"/>
          <w:i/>
          <w:iCs/>
          <w:sz w:val="20"/>
          <w:szCs w:val="20"/>
          <w:lang w:val="cs-CZ"/>
        </w:rPr>
        <w:t>Ťok</w:t>
      </w:r>
      <w:proofErr w:type="spellEnd"/>
      <w:r w:rsidRPr="008B5B70">
        <w:rPr>
          <w:rFonts w:ascii="Verdana" w:hAnsi="Verdana"/>
          <w:i/>
          <w:iCs/>
          <w:sz w:val="20"/>
          <w:szCs w:val="20"/>
          <w:lang w:val="cs-CZ"/>
        </w:rPr>
        <w:t xml:space="preserve">, Patrik </w:t>
      </w:r>
      <w:proofErr w:type="spellStart"/>
      <w:r w:rsidRPr="008B5B70">
        <w:rPr>
          <w:rFonts w:ascii="Verdana" w:hAnsi="Verdana"/>
          <w:i/>
          <w:iCs/>
          <w:sz w:val="20"/>
          <w:szCs w:val="20"/>
          <w:lang w:val="cs-CZ"/>
        </w:rPr>
        <w:t>Nacher</w:t>
      </w:r>
      <w:proofErr w:type="spellEnd"/>
      <w:r w:rsidRPr="008B5B70">
        <w:rPr>
          <w:rFonts w:ascii="Verdana" w:hAnsi="Verdana"/>
          <w:i/>
          <w:iCs/>
          <w:sz w:val="20"/>
          <w:szCs w:val="20"/>
          <w:lang w:val="cs-CZ"/>
        </w:rPr>
        <w:t xml:space="preserve">, Milan </w:t>
      </w:r>
      <w:proofErr w:type="spellStart"/>
      <w:r w:rsidRPr="008B5B70">
        <w:rPr>
          <w:rFonts w:ascii="Verdana" w:hAnsi="Verdana"/>
          <w:i/>
          <w:iCs/>
          <w:sz w:val="20"/>
          <w:szCs w:val="20"/>
          <w:lang w:val="cs-CZ"/>
        </w:rPr>
        <w:t>Feranec</w:t>
      </w:r>
      <w:proofErr w:type="spellEnd"/>
      <w:r w:rsidRPr="008B5B70">
        <w:rPr>
          <w:rFonts w:ascii="Verdana" w:hAnsi="Verdana"/>
          <w:i/>
          <w:iCs/>
          <w:sz w:val="20"/>
          <w:szCs w:val="20"/>
          <w:lang w:val="cs-CZ"/>
        </w:rPr>
        <w:t xml:space="preserve">, Klára Dostálová, Roman Onderka, Jaroslav Foldyna, Květa </w:t>
      </w:r>
      <w:proofErr w:type="spellStart"/>
      <w:r w:rsidRPr="008B5B70">
        <w:rPr>
          <w:rFonts w:ascii="Verdana" w:hAnsi="Verdana"/>
          <w:i/>
          <w:iCs/>
          <w:sz w:val="20"/>
          <w:szCs w:val="20"/>
          <w:lang w:val="cs-CZ"/>
        </w:rPr>
        <w:t>Matušovská</w:t>
      </w:r>
      <w:proofErr w:type="spellEnd"/>
      <w:r w:rsidRPr="008B5B70">
        <w:rPr>
          <w:rFonts w:ascii="Verdana" w:hAnsi="Verdana"/>
          <w:i/>
          <w:iCs/>
          <w:sz w:val="20"/>
          <w:szCs w:val="20"/>
          <w:lang w:val="cs-CZ"/>
        </w:rPr>
        <w:t xml:space="preserve">, Leo </w:t>
      </w:r>
      <w:proofErr w:type="spellStart"/>
      <w:r w:rsidRPr="008B5B70">
        <w:rPr>
          <w:rFonts w:ascii="Verdana" w:hAnsi="Verdana"/>
          <w:i/>
          <w:iCs/>
          <w:sz w:val="20"/>
          <w:szCs w:val="20"/>
          <w:lang w:val="cs-CZ"/>
        </w:rPr>
        <w:t>Luzar</w:t>
      </w:r>
      <w:proofErr w:type="spellEnd"/>
      <w:r w:rsidRPr="008B5B70">
        <w:rPr>
          <w:rFonts w:ascii="Verdana" w:hAnsi="Verdana"/>
          <w:i/>
          <w:iCs/>
          <w:sz w:val="20"/>
          <w:szCs w:val="20"/>
          <w:lang w:val="cs-CZ"/>
        </w:rPr>
        <w:t xml:space="preserve">, Zdeněk Ondráček, Radim Fiala, Helena </w:t>
      </w:r>
      <w:proofErr w:type="spellStart"/>
      <w:r w:rsidRPr="008B5B70">
        <w:rPr>
          <w:rFonts w:ascii="Verdana" w:hAnsi="Verdana"/>
          <w:i/>
          <w:iCs/>
          <w:sz w:val="20"/>
          <w:szCs w:val="20"/>
          <w:lang w:val="cs-CZ"/>
        </w:rPr>
        <w:t>Langšádlová</w:t>
      </w:r>
      <w:proofErr w:type="spellEnd"/>
      <w:r w:rsidRPr="008B5B70">
        <w:rPr>
          <w:rFonts w:ascii="Verdana" w:hAnsi="Verdana"/>
          <w:i/>
          <w:iCs/>
          <w:sz w:val="20"/>
          <w:szCs w:val="20"/>
          <w:lang w:val="cs-CZ"/>
        </w:rPr>
        <w:t xml:space="preserve">, Ondřej Polanský, Věra Kovářová, Lukáš Černohorský, Zbyněk </w:t>
      </w:r>
      <w:proofErr w:type="spellStart"/>
      <w:r w:rsidRPr="008B5B70">
        <w:rPr>
          <w:rFonts w:ascii="Verdana" w:hAnsi="Verdana"/>
          <w:i/>
          <w:iCs/>
          <w:sz w:val="20"/>
          <w:szCs w:val="20"/>
          <w:lang w:val="cs-CZ"/>
        </w:rPr>
        <w:t>Stanjura</w:t>
      </w:r>
      <w:proofErr w:type="spellEnd"/>
      <w:r w:rsidRPr="008B5B70">
        <w:rPr>
          <w:rFonts w:ascii="Verdana" w:hAnsi="Verdana"/>
          <w:i/>
          <w:iCs/>
          <w:sz w:val="20"/>
          <w:szCs w:val="20"/>
          <w:lang w:val="cs-CZ"/>
        </w:rPr>
        <w:t xml:space="preserve">, Jiří </w:t>
      </w:r>
      <w:proofErr w:type="spellStart"/>
      <w:r w:rsidRPr="008B5B70">
        <w:rPr>
          <w:rFonts w:ascii="Verdana" w:hAnsi="Verdana"/>
          <w:i/>
          <w:iCs/>
          <w:sz w:val="20"/>
          <w:szCs w:val="20"/>
          <w:lang w:val="cs-CZ"/>
        </w:rPr>
        <w:t>Mihola</w:t>
      </w:r>
      <w:proofErr w:type="spellEnd"/>
    </w:p>
    <w:p w14:paraId="61D5D206" w14:textId="77777777" w:rsidR="008B5B70" w:rsidRPr="008B5B70" w:rsidRDefault="008B5B70" w:rsidP="008B5B70">
      <w:pPr>
        <w:pStyle w:val="Default"/>
        <w:rPr>
          <w:rFonts w:ascii="Verdana" w:hAnsi="Verdana"/>
          <w:sz w:val="20"/>
          <w:szCs w:val="20"/>
        </w:rPr>
      </w:pPr>
    </w:p>
    <w:p w14:paraId="62E7212B" w14:textId="77777777" w:rsidR="008B5B70" w:rsidRPr="008B5B70" w:rsidRDefault="008B5B70" w:rsidP="008B5B70">
      <w:pPr>
        <w:spacing w:line="252" w:lineRule="atLeast"/>
        <w:rPr>
          <w:rFonts w:ascii="Verdana" w:hAnsi="Verdana"/>
          <w:b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i/>
          <w:iCs/>
          <w:color w:val="000000"/>
          <w:sz w:val="20"/>
          <w:szCs w:val="20"/>
          <w:lang w:val="cs-CZ"/>
        </w:rPr>
        <w:t>Zdůvodnění:</w:t>
      </w:r>
      <w:r w:rsidRPr="008B5B70">
        <w:rPr>
          <w:rFonts w:ascii="Verdana" w:hAnsi="Verdana"/>
          <w:color w:val="000000"/>
          <w:sz w:val="20"/>
          <w:szCs w:val="20"/>
          <w:lang w:val="cs-CZ"/>
        </w:rPr>
        <w:t xml:space="preserve"> Základem podnikání je pohyb a ten je závislý na funkční infrastruktuře. Novela má zkrátit proces povolování nejvýznamnějších staveb dopravní infrastruktury, zejména dálnic a železnic. Novela zavádí fikci souhlasu pro vydání závazného stanoviska. Dále zavádí institut předběžného uvedení v držbu, který urychluje vyvlastňovací řízení u významných dopravních staveb. Protože k urychlení došlo omezením práv účastníků řízení, zákon bude ještě zkoumat Ústavní soud. </w:t>
      </w:r>
    </w:p>
    <w:p w14:paraId="57F06B87" w14:textId="77777777" w:rsidR="008B5B70" w:rsidRPr="008B5B70" w:rsidRDefault="008B5B70" w:rsidP="008B5B70">
      <w:pPr>
        <w:rPr>
          <w:rFonts w:ascii="Verdana" w:hAnsi="Verdana"/>
          <w:sz w:val="20"/>
          <w:szCs w:val="20"/>
          <w:lang w:val="cs-CZ"/>
        </w:rPr>
      </w:pPr>
    </w:p>
    <w:p w14:paraId="3D59EC04" w14:textId="77777777" w:rsidR="008B5B70" w:rsidRPr="008B5B70" w:rsidRDefault="008B5B70" w:rsidP="008B5B70">
      <w:pPr>
        <w:jc w:val="both"/>
        <w:rPr>
          <w:rFonts w:ascii="Verdana" w:hAnsi="Verdana"/>
          <w:b/>
          <w:sz w:val="20"/>
          <w:szCs w:val="20"/>
          <w:u w:val="single"/>
          <w:lang w:val="cs-CZ"/>
        </w:rPr>
      </w:pPr>
      <w:r w:rsidRPr="008B5B70">
        <w:rPr>
          <w:rFonts w:ascii="Verdana" w:hAnsi="Verdana"/>
          <w:b/>
          <w:bCs/>
          <w:color w:val="000000"/>
          <w:sz w:val="20"/>
          <w:szCs w:val="20"/>
          <w:u w:val="single"/>
          <w:lang w:val="cs-CZ"/>
        </w:rPr>
        <w:lastRenderedPageBreak/>
        <w:t xml:space="preserve">Nástroje pro zdravou konkurenci: </w:t>
      </w:r>
      <w:r w:rsidRPr="008B5B70">
        <w:rPr>
          <w:rFonts w:ascii="Verdana" w:hAnsi="Verdana"/>
          <w:b/>
          <w:sz w:val="20"/>
          <w:szCs w:val="20"/>
          <w:u w:val="single"/>
          <w:lang w:val="cs-CZ"/>
        </w:rPr>
        <w:t>změna zákona o ochranných známkách</w:t>
      </w:r>
    </w:p>
    <w:p w14:paraId="3DC0245A" w14:textId="77777777" w:rsidR="008B5B70" w:rsidRPr="008B5B70" w:rsidRDefault="008B5B70" w:rsidP="008B5B70">
      <w:pPr>
        <w:jc w:val="both"/>
        <w:rPr>
          <w:rFonts w:ascii="Verdana" w:hAnsi="Verdana"/>
          <w:b/>
          <w:sz w:val="20"/>
          <w:szCs w:val="20"/>
          <w:lang w:val="cs-CZ"/>
        </w:rPr>
      </w:pPr>
    </w:p>
    <w:p w14:paraId="0F3F74CE" w14:textId="77777777" w:rsidR="008B5B70" w:rsidRPr="008B5B70" w:rsidRDefault="008B5B70" w:rsidP="008B5B70">
      <w:pPr>
        <w:spacing w:line="252" w:lineRule="atLeast"/>
        <w:rPr>
          <w:rFonts w:ascii="Verdana" w:hAnsi="Verdana"/>
          <w:i/>
          <w:noProof/>
          <w:sz w:val="20"/>
          <w:szCs w:val="20"/>
          <w:lang w:val="cs-CZ"/>
        </w:rPr>
      </w:pPr>
      <w:r w:rsidRPr="008B5B70">
        <w:rPr>
          <w:rFonts w:ascii="Verdana" w:hAnsi="Verdana"/>
          <w:i/>
          <w:noProof/>
          <w:sz w:val="20"/>
          <w:szCs w:val="20"/>
          <w:lang w:val="cs-CZ"/>
        </w:rPr>
        <w:t>Předpis: Zákon č. 286/2018 Sb., kterým se mění zákon č. 441/2003 Sb., o ochranných známkách a o změně zákona č. 6/2002 Sb., o soudech, soudcích, přísedících a státní správě soudů a o změně některých dalších zákonů (zákon o soudech a soudcích), ve znění pozdějších předpisů, (zákon o ochranných známkách), ve znění pozdějších předpisů, zákon č. 221/2006 Sb., o vymáhání práv z průmyslového vlastnictví a o změně zákonů na ochranu průmyslového vlastnictví (zákon o vymáhání práv z průmyslového vlastnictví), a zákon č. 634/2004 Sb., o správních poplatcích, ve znění pozdějších předpisů, implementující směrnici Evropského parlamentu a Rady (EU) 2015/2436 ze dne 16. prosince 2015, kterou se sbližují právní předpisy členských států o ochranných známkách (přepracované znění)</w:t>
      </w:r>
    </w:p>
    <w:p w14:paraId="78387398" w14:textId="77777777" w:rsidR="008B5B70" w:rsidRDefault="008B5B70" w:rsidP="008B5B70">
      <w:pPr>
        <w:spacing w:line="252" w:lineRule="atLeast"/>
        <w:rPr>
          <w:rFonts w:ascii="Verdana" w:hAnsi="Verdana"/>
          <w:i/>
          <w:noProof/>
          <w:sz w:val="20"/>
          <w:szCs w:val="20"/>
          <w:lang w:val="cs-CZ"/>
        </w:rPr>
      </w:pPr>
    </w:p>
    <w:p w14:paraId="1070A9BA" w14:textId="689A082C" w:rsidR="008B5B70" w:rsidRPr="008B5B70" w:rsidRDefault="008B5B70" w:rsidP="008B5B70">
      <w:pPr>
        <w:spacing w:line="252" w:lineRule="atLeast"/>
        <w:rPr>
          <w:rFonts w:ascii="Verdana" w:hAnsi="Verdana"/>
          <w:i/>
          <w:noProof/>
          <w:sz w:val="20"/>
          <w:szCs w:val="20"/>
          <w:lang w:val="cs-CZ"/>
        </w:rPr>
      </w:pPr>
      <w:r w:rsidRPr="008B5B70">
        <w:rPr>
          <w:rFonts w:ascii="Verdana" w:hAnsi="Verdana"/>
          <w:i/>
          <w:noProof/>
          <w:sz w:val="20"/>
          <w:szCs w:val="20"/>
          <w:lang w:val="cs-CZ"/>
        </w:rPr>
        <w:t>Autor: Ministerstvo průmyslu a obchodu, Ministerstvo spravedlnosti</w:t>
      </w:r>
    </w:p>
    <w:p w14:paraId="0FA174D6" w14:textId="77777777" w:rsidR="008B5B70" w:rsidRDefault="008B5B70" w:rsidP="008B5B70">
      <w:pPr>
        <w:jc w:val="both"/>
        <w:rPr>
          <w:rFonts w:ascii="Verdana" w:eastAsia="Times New Roman" w:hAnsi="Verdana"/>
          <w:i/>
          <w:color w:val="000000"/>
          <w:sz w:val="20"/>
          <w:szCs w:val="20"/>
          <w:lang w:val="cs-CZ"/>
        </w:rPr>
      </w:pPr>
    </w:p>
    <w:p w14:paraId="4D2C0276" w14:textId="3CA48C26" w:rsidR="008B5B70" w:rsidRPr="008B5B70" w:rsidRDefault="008B5B70" w:rsidP="008B5B70">
      <w:pPr>
        <w:jc w:val="both"/>
        <w:rPr>
          <w:rFonts w:ascii="Verdana" w:hAnsi="Verdana"/>
          <w:sz w:val="20"/>
          <w:szCs w:val="20"/>
          <w:lang w:val="cs-CZ"/>
        </w:rPr>
      </w:pPr>
      <w:r w:rsidRPr="008B5B70">
        <w:rPr>
          <w:rFonts w:ascii="Verdana" w:eastAsia="Times New Roman" w:hAnsi="Verdana"/>
          <w:i/>
          <w:color w:val="000000"/>
          <w:sz w:val="20"/>
          <w:szCs w:val="20"/>
          <w:lang w:val="cs-CZ"/>
        </w:rPr>
        <w:t>Zdůvodnění:</w:t>
      </w:r>
      <w:r w:rsidRPr="008B5B70">
        <w:rPr>
          <w:rFonts w:ascii="Verdana" w:eastAsia="Times New Roman" w:hAnsi="Verdana"/>
          <w:color w:val="000000"/>
          <w:sz w:val="20"/>
          <w:szCs w:val="20"/>
          <w:lang w:val="cs-CZ"/>
        </w:rPr>
        <w:t xml:space="preserve"> </w:t>
      </w:r>
      <w:r w:rsidRPr="008B5B70">
        <w:rPr>
          <w:rFonts w:ascii="Verdana" w:hAnsi="Verdana"/>
          <w:sz w:val="20"/>
          <w:szCs w:val="20"/>
          <w:lang w:val="cs-CZ"/>
        </w:rPr>
        <w:t xml:space="preserve">Ochranná známka je tradičním nástrojem zdravé soutěže mezi podnikateli a její efektivní ochrana je předpokladem k expansi na nové trhy. Novela má zmodernizovat a zefektivnit systém ochranných známek. Novela umožňuje nově registraci i známek čichových, chuťových, zvukových či pohybových. Zrušení přezkumu existujících známek Úřadem průmyslového vlastnictví z úřední povinnosti při přihlašování známek nových však klade do budoucna větší požadavky na bdělost vlastníků již registrovaných ochranných známek. </w:t>
      </w:r>
    </w:p>
    <w:p w14:paraId="2C67440E" w14:textId="77777777" w:rsidR="008B5B70" w:rsidRPr="008B5B70" w:rsidRDefault="008B5B70" w:rsidP="008B5B70">
      <w:pPr>
        <w:spacing w:line="252" w:lineRule="atLeast"/>
        <w:rPr>
          <w:rFonts w:ascii="Verdana" w:hAnsi="Verdana"/>
          <w:b/>
          <w:bCs/>
          <w:color w:val="000000"/>
          <w:sz w:val="20"/>
          <w:szCs w:val="20"/>
          <w:lang w:val="cs-CZ"/>
        </w:rPr>
      </w:pPr>
    </w:p>
    <w:p w14:paraId="407F1763" w14:textId="33E6E504" w:rsidR="008B5B70" w:rsidRDefault="008B5B70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</w:p>
    <w:p w14:paraId="6C81DD18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/>
          <w:bCs/>
          <w:color w:val="000000"/>
          <w:szCs w:val="20"/>
          <w:lang w:val="cs-CZ"/>
        </w:rPr>
      </w:pPr>
      <w:r w:rsidRPr="008B5B70">
        <w:rPr>
          <w:rFonts w:ascii="Verdana" w:hAnsi="Verdana"/>
          <w:b/>
          <w:bCs/>
          <w:color w:val="000000"/>
          <w:szCs w:val="20"/>
          <w:lang w:val="cs-CZ"/>
        </w:rPr>
        <w:t>Nominační rada (v abecedním pořadí):</w:t>
      </w:r>
    </w:p>
    <w:p w14:paraId="4D0BD87B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</w:p>
    <w:p w14:paraId="5A7CBCC6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Mgr. Tomáš Babáček, LL.M., partner Deloitte Legal, předseda Nominační rady</w:t>
      </w:r>
    </w:p>
    <w:p w14:paraId="7E62ECD0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JUDr. Marie Brejchová, LL.M., prezidentka Unie podnikových právníků ČR,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z.s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., právník PRE, a.s.</w:t>
      </w:r>
    </w:p>
    <w:p w14:paraId="3423F58D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JUDr. Monika Čírtková, advokátka, vlastní praxe</w:t>
      </w:r>
    </w:p>
    <w:p w14:paraId="62900427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Mgr. Václav Drchal, redaktor, Týdeník Euro</w:t>
      </w:r>
    </w:p>
    <w:p w14:paraId="49FC3584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Ing. Radek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Hacaperka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, generální ředitel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APPLiA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CZ – Sdružení výrobců spotřebičů</w:t>
      </w:r>
    </w:p>
    <w:p w14:paraId="6B9DF1A0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Mgr. Filip Hanzlík, LL.M., náměstek výkonného ředitele a hlavní právník, Česká bankovní asociace</w:t>
      </w:r>
    </w:p>
    <w:p w14:paraId="254B7DD0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Mgr. Štěpán Holub, advokát, Holubová advokáti s.r.o.</w:t>
      </w:r>
    </w:p>
    <w:p w14:paraId="5C26639C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Mgr. Jan Januš, redaktor a vedoucí právní sekce Info.cz</w:t>
      </w:r>
    </w:p>
    <w:p w14:paraId="47C849B6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Mgr. Veronika Ježková, ředitelka Pro bono aliance, vedoucí týmu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AdvoCats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for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Women</w:t>
      </w:r>
      <w:proofErr w:type="spellEnd"/>
    </w:p>
    <w:p w14:paraId="69C0B67D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Mgr. Pavel Jiříček, právník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Transparency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International – Česká republika, o.p.s.</w:t>
      </w:r>
    </w:p>
    <w:p w14:paraId="2125BE6A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Ing. Soňa Jonášová, zakladatelka a ředitelka Institutu Cirkulární Ekonomiky</w:t>
      </w:r>
    </w:p>
    <w:p w14:paraId="4006BCA7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JUDr. David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Karabec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, advokát, Asociace malých a středních podniků a živnostníků ČR</w:t>
      </w:r>
    </w:p>
    <w:p w14:paraId="5D802BD5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Mgr. Kateřina Kolářová, vedoucí rubriky Právo a justice, Lidové noviny</w:t>
      </w:r>
    </w:p>
    <w:p w14:paraId="191E6A11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Mgr. František Korbel, Ph.D., partner Havel &amp;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Partners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, VŠ učitel na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PrF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UK, člen Legislativní rady vlády</w:t>
      </w:r>
    </w:p>
    <w:p w14:paraId="3ED7BFEE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RNDr. Petr Kubala, generální ředitel, Povodí Vltavy, státní podnik</w:t>
      </w:r>
    </w:p>
    <w:p w14:paraId="75EAD850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Mgr. Jan Mandík, Odbor legislativy, práva a analýz, Hospodářská komora ČR</w:t>
      </w:r>
    </w:p>
    <w:p w14:paraId="4D796082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Ing. Radka Mašková, FCCA, MBA, daňový poradce, ředitelka oddělení Nepřímých daní,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Deloitte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Advisory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s.r.o.</w:t>
      </w:r>
    </w:p>
    <w:p w14:paraId="44784759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Mgr. Lucie Mohylová, moderátorka Týden v justici, Česká televize</w:t>
      </w:r>
    </w:p>
    <w:p w14:paraId="5555FF4B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Mgr. Robert Němec, LL.M., partner PRK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Partners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, místopředseda představenstva České advokátní komory</w:t>
      </w:r>
    </w:p>
    <w:p w14:paraId="5F2FB18B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Ing. Jiří Nesrovnal, člen prezidia, Komora daňových poradců ČR</w:t>
      </w:r>
    </w:p>
    <w:p w14:paraId="43BAFE68" w14:textId="77777777" w:rsidR="000C08F9" w:rsidRPr="008B5B70" w:rsidRDefault="000C08F9" w:rsidP="008B5B70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JUDr. Barbara Pořízková, místopředsedkyně Nejvyššího správního soudu</w:t>
      </w:r>
    </w:p>
    <w:p w14:paraId="77BEBE9C" w14:textId="77777777" w:rsidR="000C08F9" w:rsidRPr="008B5B70" w:rsidRDefault="000C08F9" w:rsidP="000C08F9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Ing. Tomáš Prouza, MBA, prezident Svazu obchodu a cestovního ruchu ČR</w:t>
      </w:r>
    </w:p>
    <w:p w14:paraId="6BA356EA" w14:textId="77777777" w:rsidR="000C08F9" w:rsidRPr="008B5B70" w:rsidRDefault="000C08F9" w:rsidP="000C08F9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JUDr. Hana Rýdlová, šéfredaktorka, Bulletin advokacie</w:t>
      </w:r>
    </w:p>
    <w:p w14:paraId="744A2CBE" w14:textId="77777777" w:rsidR="000C08F9" w:rsidRPr="008B5B70" w:rsidRDefault="000C08F9" w:rsidP="000C08F9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JUDr. et PhDr. Karel Šimka, LL.M., PhD., soudce, Nejvyšší správní soud</w:t>
      </w:r>
    </w:p>
    <w:p w14:paraId="5CA357DA" w14:textId="77777777" w:rsidR="000C08F9" w:rsidRPr="008B5B70" w:rsidRDefault="000C08F9" w:rsidP="000C08F9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Radek Špicar, M.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Phil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., viceprezident Svazu průmyslu a dopravy ČR</w:t>
      </w:r>
    </w:p>
    <w:p w14:paraId="016E3684" w14:textId="77777777" w:rsidR="000C08F9" w:rsidRPr="008B5B70" w:rsidRDefault="000C08F9" w:rsidP="000C08F9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lastRenderedPageBreak/>
        <w:t xml:space="preserve">Ing. Tereza Tomanová, daňový poradce, manažer oddělení Přímých daní,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Deloitte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Advisory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s.r.o.</w:t>
      </w:r>
    </w:p>
    <w:p w14:paraId="7C2E2424" w14:textId="7606F038" w:rsidR="000C08F9" w:rsidRPr="008B5B70" w:rsidRDefault="005D6118" w:rsidP="000C08F9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>
        <w:rPr>
          <w:rFonts w:ascii="Verdana" w:hAnsi="Verdana"/>
          <w:bCs/>
          <w:color w:val="000000"/>
          <w:sz w:val="20"/>
          <w:szCs w:val="20"/>
          <w:lang w:val="cs-CZ"/>
        </w:rPr>
        <w:t>Ing</w:t>
      </w:r>
      <w:r w:rsidR="000C08F9" w:rsidRPr="008B5B70">
        <w:rPr>
          <w:rFonts w:ascii="Verdana" w:hAnsi="Verdana"/>
          <w:bCs/>
          <w:color w:val="000000"/>
          <w:sz w:val="20"/>
          <w:szCs w:val="20"/>
          <w:lang w:val="cs-CZ"/>
        </w:rPr>
        <w:t>. Alžběta Vejvodová, šéfredaktorka měsíčníku Právní rádce</w:t>
      </w:r>
    </w:p>
    <w:p w14:paraId="7DF9D91A" w14:textId="112D7025" w:rsidR="000C08F9" w:rsidRPr="008B5B70" w:rsidRDefault="000C08F9" w:rsidP="000C08F9">
      <w:pPr>
        <w:pStyle w:val="Normlnweb"/>
        <w:shd w:val="clear" w:color="auto" w:fill="FFFFFF"/>
        <w:spacing w:before="0" w:beforeAutospacing="0" w:after="0" w:afterAutospacing="0"/>
        <w:rPr>
          <w:rFonts w:ascii="Verdana" w:hAnsi="Verdana"/>
          <w:bCs/>
          <w:color w:val="000000"/>
          <w:sz w:val="20"/>
          <w:szCs w:val="20"/>
          <w:lang w:val="cs-CZ"/>
        </w:rPr>
      </w:pPr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Ing. Monika Zahálková, výkonná ředitelka, Czech Institute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of</w:t>
      </w:r>
      <w:proofErr w:type="spellEnd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 xml:space="preserve"> </w:t>
      </w:r>
      <w:proofErr w:type="spellStart"/>
      <w:r w:rsidRPr="008B5B70">
        <w:rPr>
          <w:rFonts w:ascii="Verdana" w:hAnsi="Verdana"/>
          <w:bCs/>
          <w:color w:val="000000"/>
          <w:sz w:val="20"/>
          <w:szCs w:val="20"/>
          <w:lang w:val="cs-CZ"/>
        </w:rPr>
        <w:t>Directors</w:t>
      </w:r>
      <w:proofErr w:type="spellEnd"/>
    </w:p>
    <w:sectPr w:rsidR="000C08F9" w:rsidRPr="008B5B70" w:rsidSect="003E5CA9">
      <w:footerReference w:type="default" r:id="rId8"/>
      <w:headerReference w:type="first" r:id="rId9"/>
      <w:footerReference w:type="first" r:id="rId10"/>
      <w:pgSz w:w="11900" w:h="16840"/>
      <w:pgMar w:top="1417" w:right="1417" w:bottom="1417" w:left="1417" w:header="680" w:footer="56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B58409" w14:textId="77777777" w:rsidR="009F71F6" w:rsidRDefault="009F71F6">
      <w:r>
        <w:separator/>
      </w:r>
    </w:p>
  </w:endnote>
  <w:endnote w:type="continuationSeparator" w:id="0">
    <w:p w14:paraId="6793510A" w14:textId="77777777" w:rsidR="009F71F6" w:rsidRDefault="009F71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653543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9FEA10" w14:textId="29DE3CD7" w:rsidR="003E5CA9" w:rsidRDefault="003E5CA9">
        <w:pPr>
          <w:pStyle w:val="Zpa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83A7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02832865" w14:textId="4E388276" w:rsidR="00D80308" w:rsidRPr="003E5CA9" w:rsidRDefault="00D80308">
    <w:pPr>
      <w:pStyle w:val="Zpat"/>
      <w:spacing w:line="180" w:lineRule="atLeast"/>
      <w:rPr>
        <w:sz w:val="14"/>
        <w:szCs w:val="14"/>
        <w:lang w:val="cs-CZ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6917E1D" w14:textId="27BB79A1" w:rsidR="003E5CA9" w:rsidRPr="003E5CA9" w:rsidRDefault="003E5CA9">
    <w:pPr>
      <w:pStyle w:val="Zpat"/>
      <w:rPr>
        <w:lang w:val="cs-CZ"/>
      </w:rPr>
    </w:pPr>
    <w:r>
      <w:rPr>
        <w:lang w:val="cs-CZ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E46138" w14:textId="77777777" w:rsidR="009F71F6" w:rsidRDefault="009F71F6">
      <w:r>
        <w:separator/>
      </w:r>
    </w:p>
  </w:footnote>
  <w:footnote w:type="continuationSeparator" w:id="0">
    <w:p w14:paraId="73D8EF2E" w14:textId="77777777" w:rsidR="009F71F6" w:rsidRDefault="009F71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2E3582" w14:textId="01BFC902" w:rsidR="00D80308" w:rsidRDefault="00D571A5">
    <w:pPr>
      <w:pStyle w:val="Zhlav"/>
    </w:pPr>
    <w:r>
      <w:rPr>
        <w:noProof/>
        <w:lang w:val="cs-CZ"/>
      </w:rPr>
      <w:drawing>
        <wp:anchor distT="152400" distB="152400" distL="152400" distR="152400" simplePos="0" relativeHeight="251659264" behindDoc="1" locked="0" layoutInCell="1" allowOverlap="1" wp14:anchorId="358EF23F" wp14:editId="47F02E49">
          <wp:simplePos x="0" y="0"/>
          <wp:positionH relativeFrom="page">
            <wp:posOffset>899795</wp:posOffset>
          </wp:positionH>
          <wp:positionV relativeFrom="page">
            <wp:posOffset>583565</wp:posOffset>
          </wp:positionV>
          <wp:extent cx="1871980" cy="348616"/>
          <wp:effectExtent l="0" t="0" r="0" b="0"/>
          <wp:wrapNone/>
          <wp:docPr id="1" name="officeArt object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image1.gif"/>
                  <pic:cNvPicPr>
                    <a:picLocks noChangeAspect="1"/>
                  </pic:cNvPicPr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871980" cy="348616"/>
                  </a:xfrm>
                  <a:prstGeom prst="rect">
                    <a:avLst/>
                  </a:prstGeom>
                  <a:ln w="12700" cap="flat">
                    <a:noFill/>
                    <a:miter lim="400000"/>
                  </a:ln>
                  <a:effectLst/>
                </pic:spPr>
              </pic:pic>
            </a:graphicData>
          </a:graphic>
        </wp:anchor>
      </w:drawing>
    </w:r>
  </w:p>
  <w:p w14:paraId="30C79BE9" w14:textId="77777777" w:rsidR="00D80308" w:rsidRDefault="00D80308">
    <w:pPr>
      <w:pStyle w:val="Zhlav"/>
    </w:pPr>
  </w:p>
  <w:p w14:paraId="74B511C2" w14:textId="77777777" w:rsidR="00D80308" w:rsidRDefault="00D80308">
    <w:pPr>
      <w:pStyle w:val="Zhlav"/>
    </w:pPr>
  </w:p>
  <w:p w14:paraId="617730B1" w14:textId="77777777" w:rsidR="00D80308" w:rsidRDefault="00D80308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55149"/>
    <w:multiLevelType w:val="hybridMultilevel"/>
    <w:tmpl w:val="593831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04DB6"/>
    <w:multiLevelType w:val="hybridMultilevel"/>
    <w:tmpl w:val="ECAE98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42AC2"/>
    <w:multiLevelType w:val="hybridMultilevel"/>
    <w:tmpl w:val="1506FDA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8C3DDB"/>
    <w:multiLevelType w:val="hybridMultilevel"/>
    <w:tmpl w:val="132AA044"/>
    <w:numStyleLink w:val="Importovanstyl1"/>
  </w:abstractNum>
  <w:abstractNum w:abstractNumId="4" w15:restartNumberingAfterBreak="0">
    <w:nsid w:val="15422D8C"/>
    <w:multiLevelType w:val="hybridMultilevel"/>
    <w:tmpl w:val="3FBA14B8"/>
    <w:lvl w:ilvl="0" w:tplc="04050005">
      <w:start w:val="1"/>
      <w:numFmt w:val="bullet"/>
      <w:lvlText w:val=""/>
      <w:lvlJc w:val="left"/>
      <w:pPr>
        <w:ind w:left="174" w:hanging="174"/>
      </w:pPr>
      <w:rPr>
        <w:rFonts w:ascii="Wingdings" w:hAnsi="Wingdings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AF20228">
      <w:start w:val="1"/>
      <w:numFmt w:val="bullet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732CBCC">
      <w:start w:val="1"/>
      <w:numFmt w:val="bullet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7AEEC14">
      <w:start w:val="1"/>
      <w:numFmt w:val="bullet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5AA292">
      <w:start w:val="1"/>
      <w:numFmt w:val="bullet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6455BC">
      <w:start w:val="1"/>
      <w:numFmt w:val="bullet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C04AC6A">
      <w:start w:val="1"/>
      <w:numFmt w:val="bullet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84CA762">
      <w:start w:val="1"/>
      <w:numFmt w:val="bullet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9CC392">
      <w:start w:val="1"/>
      <w:numFmt w:val="bullet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1866462D"/>
    <w:multiLevelType w:val="hybridMultilevel"/>
    <w:tmpl w:val="ED3801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CE2802"/>
    <w:multiLevelType w:val="hybridMultilevel"/>
    <w:tmpl w:val="132AA044"/>
    <w:styleLink w:val="Importovanstyl1"/>
    <w:lvl w:ilvl="0" w:tplc="C4907190">
      <w:start w:val="1"/>
      <w:numFmt w:val="bullet"/>
      <w:lvlText w:val="▪"/>
      <w:lvlJc w:val="left"/>
      <w:pPr>
        <w:ind w:left="7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2FFC2D48">
      <w:start w:val="1"/>
      <w:numFmt w:val="bullet"/>
      <w:lvlText w:val="o"/>
      <w:lvlJc w:val="left"/>
      <w:pPr>
        <w:ind w:left="14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114DAF4">
      <w:start w:val="1"/>
      <w:numFmt w:val="bullet"/>
      <w:lvlText w:val="▪"/>
      <w:lvlJc w:val="left"/>
      <w:pPr>
        <w:ind w:left="21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5EE620AC">
      <w:start w:val="1"/>
      <w:numFmt w:val="bullet"/>
      <w:lvlText w:val="•"/>
      <w:lvlJc w:val="left"/>
      <w:pPr>
        <w:ind w:left="28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75E449C">
      <w:start w:val="1"/>
      <w:numFmt w:val="bullet"/>
      <w:lvlText w:val="o"/>
      <w:lvlJc w:val="left"/>
      <w:pPr>
        <w:ind w:left="36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0008D4">
      <w:start w:val="1"/>
      <w:numFmt w:val="bullet"/>
      <w:lvlText w:val="▪"/>
      <w:lvlJc w:val="left"/>
      <w:pPr>
        <w:ind w:left="43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1C94DA8E">
      <w:start w:val="1"/>
      <w:numFmt w:val="bullet"/>
      <w:lvlText w:val="•"/>
      <w:lvlJc w:val="left"/>
      <w:pPr>
        <w:ind w:left="50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F1D2A3B6">
      <w:start w:val="1"/>
      <w:numFmt w:val="bullet"/>
      <w:lvlText w:val="o"/>
      <w:lvlJc w:val="left"/>
      <w:pPr>
        <w:ind w:left="57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06E4DCD2">
      <w:start w:val="1"/>
      <w:numFmt w:val="bullet"/>
      <w:lvlText w:val="▪"/>
      <w:lvlJc w:val="left"/>
      <w:pPr>
        <w:ind w:left="64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237040CF"/>
    <w:multiLevelType w:val="hybridMultilevel"/>
    <w:tmpl w:val="28B631BA"/>
    <w:lvl w:ilvl="0" w:tplc="04050001">
      <w:start w:val="1"/>
      <w:numFmt w:val="bullet"/>
      <w:lvlText w:val=""/>
      <w:lvlJc w:val="left"/>
      <w:pPr>
        <w:ind w:left="174" w:hanging="174"/>
      </w:pPr>
      <w:rPr>
        <w:rFonts w:ascii="Symbol" w:hAnsi="Symbol" w:hint="default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EAF20228">
      <w:start w:val="1"/>
      <w:numFmt w:val="bullet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F732CBCC">
      <w:start w:val="1"/>
      <w:numFmt w:val="bullet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C7AEEC14">
      <w:start w:val="1"/>
      <w:numFmt w:val="bullet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4F5AA292">
      <w:start w:val="1"/>
      <w:numFmt w:val="bullet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2C6455BC">
      <w:start w:val="1"/>
      <w:numFmt w:val="bullet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9C04AC6A">
      <w:start w:val="1"/>
      <w:numFmt w:val="bullet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C84CA762">
      <w:start w:val="1"/>
      <w:numFmt w:val="bullet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DE9CC392">
      <w:start w:val="1"/>
      <w:numFmt w:val="bullet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8" w15:restartNumberingAfterBreak="0">
    <w:nsid w:val="3CF304BE"/>
    <w:multiLevelType w:val="hybridMultilevel"/>
    <w:tmpl w:val="132AA044"/>
    <w:numStyleLink w:val="Importovanstyl1"/>
  </w:abstractNum>
  <w:abstractNum w:abstractNumId="9" w15:restartNumberingAfterBreak="0">
    <w:nsid w:val="408739FC"/>
    <w:multiLevelType w:val="hybridMultilevel"/>
    <w:tmpl w:val="6A64205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AD29E9"/>
    <w:multiLevelType w:val="hybridMultilevel"/>
    <w:tmpl w:val="3A7E6A94"/>
    <w:styleLink w:val="Odrky"/>
    <w:lvl w:ilvl="0" w:tplc="3690A05C">
      <w:start w:val="1"/>
      <w:numFmt w:val="bullet"/>
      <w:lvlText w:val="•"/>
      <w:lvlJc w:val="left"/>
      <w:pPr>
        <w:ind w:left="174" w:hanging="174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8326C380">
      <w:start w:val="1"/>
      <w:numFmt w:val="bullet"/>
      <w:lvlText w:val="•"/>
      <w:lvlJc w:val="left"/>
      <w:pPr>
        <w:ind w:left="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C48C752">
      <w:start w:val="1"/>
      <w:numFmt w:val="bullet"/>
      <w:lvlText w:val="•"/>
      <w:lvlJc w:val="left"/>
      <w:pPr>
        <w:ind w:left="1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8EAF50A">
      <w:start w:val="1"/>
      <w:numFmt w:val="bullet"/>
      <w:lvlText w:val="•"/>
      <w:lvlJc w:val="left"/>
      <w:pPr>
        <w:ind w:left="1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2965F50">
      <w:start w:val="1"/>
      <w:numFmt w:val="bullet"/>
      <w:lvlText w:val="•"/>
      <w:lvlJc w:val="left"/>
      <w:pPr>
        <w:ind w:left="25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9F08828">
      <w:start w:val="1"/>
      <w:numFmt w:val="bullet"/>
      <w:lvlText w:val="•"/>
      <w:lvlJc w:val="left"/>
      <w:pPr>
        <w:ind w:left="31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4B44BFE">
      <w:start w:val="1"/>
      <w:numFmt w:val="bullet"/>
      <w:lvlText w:val="•"/>
      <w:lvlJc w:val="left"/>
      <w:pPr>
        <w:ind w:left="37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2AC1FA4">
      <w:start w:val="1"/>
      <w:numFmt w:val="bullet"/>
      <w:lvlText w:val="•"/>
      <w:lvlJc w:val="left"/>
      <w:pPr>
        <w:ind w:left="43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4538CCB8">
      <w:start w:val="1"/>
      <w:numFmt w:val="bullet"/>
      <w:lvlText w:val="•"/>
      <w:lvlJc w:val="left"/>
      <w:pPr>
        <w:ind w:left="4989" w:hanging="189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1" w15:restartNumberingAfterBreak="0">
    <w:nsid w:val="4727792F"/>
    <w:multiLevelType w:val="hybridMultilevel"/>
    <w:tmpl w:val="9162D8C6"/>
    <w:lvl w:ilvl="0" w:tplc="5540EAD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AC11E0E"/>
    <w:multiLevelType w:val="hybridMultilevel"/>
    <w:tmpl w:val="3A7E6A94"/>
    <w:numStyleLink w:val="Odrky"/>
  </w:abstractNum>
  <w:abstractNum w:abstractNumId="13" w15:restartNumberingAfterBreak="0">
    <w:nsid w:val="4B291C08"/>
    <w:multiLevelType w:val="hybridMultilevel"/>
    <w:tmpl w:val="20560D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D355C1"/>
    <w:multiLevelType w:val="hybridMultilevel"/>
    <w:tmpl w:val="393C2D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BA217C4"/>
    <w:multiLevelType w:val="hybridMultilevel"/>
    <w:tmpl w:val="CC50BC7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5C614752"/>
    <w:multiLevelType w:val="hybridMultilevel"/>
    <w:tmpl w:val="C3320BE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3E4E0D"/>
    <w:multiLevelType w:val="hybridMultilevel"/>
    <w:tmpl w:val="3D9E56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85C4E77"/>
    <w:multiLevelType w:val="hybridMultilevel"/>
    <w:tmpl w:val="C162544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2F06CF"/>
    <w:multiLevelType w:val="hybridMultilevel"/>
    <w:tmpl w:val="B0D0B54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2F03793"/>
    <w:multiLevelType w:val="hybridMultilevel"/>
    <w:tmpl w:val="E56025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3"/>
  </w:num>
  <w:num w:numId="4">
    <w:abstractNumId w:val="9"/>
  </w:num>
  <w:num w:numId="5">
    <w:abstractNumId w:val="5"/>
  </w:num>
  <w:num w:numId="6">
    <w:abstractNumId w:val="14"/>
  </w:num>
  <w:num w:numId="7">
    <w:abstractNumId w:val="10"/>
  </w:num>
  <w:num w:numId="8">
    <w:abstractNumId w:val="12"/>
  </w:num>
  <w:num w:numId="9">
    <w:abstractNumId w:val="3"/>
  </w:num>
  <w:num w:numId="10">
    <w:abstractNumId w:val="4"/>
  </w:num>
  <w:num w:numId="11">
    <w:abstractNumId w:val="7"/>
  </w:num>
  <w:num w:numId="12">
    <w:abstractNumId w:val="15"/>
  </w:num>
  <w:num w:numId="13">
    <w:abstractNumId w:val="18"/>
  </w:num>
  <w:num w:numId="14">
    <w:abstractNumId w:val="19"/>
  </w:num>
  <w:num w:numId="15">
    <w:abstractNumId w:val="2"/>
  </w:num>
  <w:num w:numId="16">
    <w:abstractNumId w:val="1"/>
  </w:num>
  <w:num w:numId="17">
    <w:abstractNumId w:val="20"/>
  </w:num>
  <w:num w:numId="18">
    <w:abstractNumId w:val="0"/>
  </w:num>
  <w:num w:numId="19">
    <w:abstractNumId w:val="16"/>
  </w:num>
  <w:num w:numId="20">
    <w:abstractNumId w:val="17"/>
  </w:num>
  <w:num w:numId="2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de-DE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0308"/>
    <w:rsid w:val="000066D8"/>
    <w:rsid w:val="000367B8"/>
    <w:rsid w:val="0006062E"/>
    <w:rsid w:val="00066148"/>
    <w:rsid w:val="00066985"/>
    <w:rsid w:val="000B263C"/>
    <w:rsid w:val="000B5B88"/>
    <w:rsid w:val="000C08F9"/>
    <w:rsid w:val="000D0040"/>
    <w:rsid w:val="000D3DF1"/>
    <w:rsid w:val="000D49D8"/>
    <w:rsid w:val="000D5855"/>
    <w:rsid w:val="00100ABF"/>
    <w:rsid w:val="001236C1"/>
    <w:rsid w:val="001304E2"/>
    <w:rsid w:val="001327DE"/>
    <w:rsid w:val="001458DF"/>
    <w:rsid w:val="00145BB0"/>
    <w:rsid w:val="00182D6B"/>
    <w:rsid w:val="00184B4A"/>
    <w:rsid w:val="001B2AC4"/>
    <w:rsid w:val="001B3A47"/>
    <w:rsid w:val="001B3C02"/>
    <w:rsid w:val="001D2C22"/>
    <w:rsid w:val="001D43FC"/>
    <w:rsid w:val="001F1F16"/>
    <w:rsid w:val="00214035"/>
    <w:rsid w:val="0021455F"/>
    <w:rsid w:val="00220545"/>
    <w:rsid w:val="0024386E"/>
    <w:rsid w:val="00246008"/>
    <w:rsid w:val="002543FD"/>
    <w:rsid w:val="00271AF1"/>
    <w:rsid w:val="00281E7D"/>
    <w:rsid w:val="002938A8"/>
    <w:rsid w:val="00293C95"/>
    <w:rsid w:val="002A6213"/>
    <w:rsid w:val="002A6652"/>
    <w:rsid w:val="002D5363"/>
    <w:rsid w:val="002D5DF8"/>
    <w:rsid w:val="002D748A"/>
    <w:rsid w:val="00301D68"/>
    <w:rsid w:val="00321202"/>
    <w:rsid w:val="003242DC"/>
    <w:rsid w:val="00341FEC"/>
    <w:rsid w:val="00370DE5"/>
    <w:rsid w:val="00373316"/>
    <w:rsid w:val="003A11E9"/>
    <w:rsid w:val="003A25BC"/>
    <w:rsid w:val="003B4A23"/>
    <w:rsid w:val="003D6EF5"/>
    <w:rsid w:val="003E5CA9"/>
    <w:rsid w:val="00411204"/>
    <w:rsid w:val="004131E1"/>
    <w:rsid w:val="00446210"/>
    <w:rsid w:val="00455A5D"/>
    <w:rsid w:val="00493657"/>
    <w:rsid w:val="0049767C"/>
    <w:rsid w:val="004A64D0"/>
    <w:rsid w:val="004B5DAD"/>
    <w:rsid w:val="00522131"/>
    <w:rsid w:val="00527CF3"/>
    <w:rsid w:val="00531D84"/>
    <w:rsid w:val="00544C7F"/>
    <w:rsid w:val="0055399B"/>
    <w:rsid w:val="00556711"/>
    <w:rsid w:val="00571718"/>
    <w:rsid w:val="005730D9"/>
    <w:rsid w:val="00593DE1"/>
    <w:rsid w:val="005944F8"/>
    <w:rsid w:val="005B0F8E"/>
    <w:rsid w:val="005B3B70"/>
    <w:rsid w:val="005B5B2D"/>
    <w:rsid w:val="005D6118"/>
    <w:rsid w:val="005E23FD"/>
    <w:rsid w:val="005F568E"/>
    <w:rsid w:val="00601801"/>
    <w:rsid w:val="006111FE"/>
    <w:rsid w:val="006149CF"/>
    <w:rsid w:val="00645D65"/>
    <w:rsid w:val="00655B7B"/>
    <w:rsid w:val="00683083"/>
    <w:rsid w:val="00691AC5"/>
    <w:rsid w:val="006D26B6"/>
    <w:rsid w:val="006D3783"/>
    <w:rsid w:val="006E277D"/>
    <w:rsid w:val="006F0E33"/>
    <w:rsid w:val="00705B8F"/>
    <w:rsid w:val="00714100"/>
    <w:rsid w:val="00720D84"/>
    <w:rsid w:val="00743006"/>
    <w:rsid w:val="007440C9"/>
    <w:rsid w:val="00746FAA"/>
    <w:rsid w:val="00757230"/>
    <w:rsid w:val="00762356"/>
    <w:rsid w:val="007B310C"/>
    <w:rsid w:val="007B660A"/>
    <w:rsid w:val="007F1350"/>
    <w:rsid w:val="007F7E56"/>
    <w:rsid w:val="008050B5"/>
    <w:rsid w:val="008114CF"/>
    <w:rsid w:val="00835C49"/>
    <w:rsid w:val="00841678"/>
    <w:rsid w:val="008428FB"/>
    <w:rsid w:val="00842CE0"/>
    <w:rsid w:val="00861673"/>
    <w:rsid w:val="008723F5"/>
    <w:rsid w:val="008A21AC"/>
    <w:rsid w:val="008A7563"/>
    <w:rsid w:val="008B5B70"/>
    <w:rsid w:val="008B7629"/>
    <w:rsid w:val="008C49BF"/>
    <w:rsid w:val="008D767D"/>
    <w:rsid w:val="00917758"/>
    <w:rsid w:val="00927DE2"/>
    <w:rsid w:val="00952208"/>
    <w:rsid w:val="0097302D"/>
    <w:rsid w:val="0097717C"/>
    <w:rsid w:val="00991AE8"/>
    <w:rsid w:val="00992014"/>
    <w:rsid w:val="00995E7E"/>
    <w:rsid w:val="009B1CA4"/>
    <w:rsid w:val="009C2AAB"/>
    <w:rsid w:val="009D7EB0"/>
    <w:rsid w:val="009F3AB7"/>
    <w:rsid w:val="009F410F"/>
    <w:rsid w:val="009F71F6"/>
    <w:rsid w:val="00A17000"/>
    <w:rsid w:val="00A27762"/>
    <w:rsid w:val="00A36C5B"/>
    <w:rsid w:val="00A63310"/>
    <w:rsid w:val="00A80B1B"/>
    <w:rsid w:val="00A8265C"/>
    <w:rsid w:val="00A83843"/>
    <w:rsid w:val="00A96FE1"/>
    <w:rsid w:val="00AA37E6"/>
    <w:rsid w:val="00AD749B"/>
    <w:rsid w:val="00AE75B6"/>
    <w:rsid w:val="00B04CF6"/>
    <w:rsid w:val="00B1224F"/>
    <w:rsid w:val="00B12324"/>
    <w:rsid w:val="00B16CA7"/>
    <w:rsid w:val="00B30A49"/>
    <w:rsid w:val="00B44287"/>
    <w:rsid w:val="00B51F43"/>
    <w:rsid w:val="00B75D08"/>
    <w:rsid w:val="00B837EA"/>
    <w:rsid w:val="00B84D8A"/>
    <w:rsid w:val="00B90F0C"/>
    <w:rsid w:val="00B954EF"/>
    <w:rsid w:val="00BD0372"/>
    <w:rsid w:val="00BD4407"/>
    <w:rsid w:val="00BE0B50"/>
    <w:rsid w:val="00BF0C09"/>
    <w:rsid w:val="00C000BE"/>
    <w:rsid w:val="00C06B2D"/>
    <w:rsid w:val="00C120C0"/>
    <w:rsid w:val="00C218CC"/>
    <w:rsid w:val="00C344AD"/>
    <w:rsid w:val="00C354BC"/>
    <w:rsid w:val="00C42399"/>
    <w:rsid w:val="00C45F8B"/>
    <w:rsid w:val="00C46BD8"/>
    <w:rsid w:val="00C47A50"/>
    <w:rsid w:val="00C73BEB"/>
    <w:rsid w:val="00C74172"/>
    <w:rsid w:val="00C83A78"/>
    <w:rsid w:val="00C9413B"/>
    <w:rsid w:val="00CA146D"/>
    <w:rsid w:val="00CA2BFF"/>
    <w:rsid w:val="00CB532C"/>
    <w:rsid w:val="00CC356C"/>
    <w:rsid w:val="00CD0610"/>
    <w:rsid w:val="00CE1F20"/>
    <w:rsid w:val="00CE4967"/>
    <w:rsid w:val="00CE6666"/>
    <w:rsid w:val="00CF5B7E"/>
    <w:rsid w:val="00D051B6"/>
    <w:rsid w:val="00D06B9B"/>
    <w:rsid w:val="00D06FE3"/>
    <w:rsid w:val="00D2020E"/>
    <w:rsid w:val="00D25DB9"/>
    <w:rsid w:val="00D525BE"/>
    <w:rsid w:val="00D571A5"/>
    <w:rsid w:val="00D61CFE"/>
    <w:rsid w:val="00D72F65"/>
    <w:rsid w:val="00D80308"/>
    <w:rsid w:val="00D85ED5"/>
    <w:rsid w:val="00DA04FF"/>
    <w:rsid w:val="00DA545F"/>
    <w:rsid w:val="00DA7BA7"/>
    <w:rsid w:val="00E24063"/>
    <w:rsid w:val="00E35B81"/>
    <w:rsid w:val="00E5341D"/>
    <w:rsid w:val="00E750AC"/>
    <w:rsid w:val="00E90885"/>
    <w:rsid w:val="00EA4F23"/>
    <w:rsid w:val="00EB535A"/>
    <w:rsid w:val="00EE14DD"/>
    <w:rsid w:val="00EE201B"/>
    <w:rsid w:val="00EF097B"/>
    <w:rsid w:val="00F04BF1"/>
    <w:rsid w:val="00F05407"/>
    <w:rsid w:val="00F23A0F"/>
    <w:rsid w:val="00F4788A"/>
    <w:rsid w:val="00F51E9E"/>
    <w:rsid w:val="00F5552A"/>
    <w:rsid w:val="00F61217"/>
    <w:rsid w:val="00F816D5"/>
    <w:rsid w:val="00F81806"/>
    <w:rsid w:val="00FA06E4"/>
    <w:rsid w:val="00FA1453"/>
    <w:rsid w:val="00FA49AB"/>
    <w:rsid w:val="00FB1E1B"/>
    <w:rsid w:val="00FB5685"/>
    <w:rsid w:val="00FD3322"/>
    <w:rsid w:val="00FD339E"/>
    <w:rsid w:val="00FD36B5"/>
    <w:rsid w:val="00FE54E3"/>
    <w:rsid w:val="00FE6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9C339"/>
  <w15:docId w15:val="{F7FA218A-82EA-4490-AB67-4379F550D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cs-CZ" w:eastAsia="cs-CZ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rPr>
      <w:sz w:val="24"/>
      <w:szCs w:val="24"/>
      <w:lang w:val="en-US"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rPr>
      <w:u w:val="single"/>
    </w:rPr>
  </w:style>
  <w:style w:type="paragraph" w:customStyle="1" w:styleId="Zhlavazpat">
    <w:name w:val="Záhlaví a zápatí"/>
    <w:pPr>
      <w:tabs>
        <w:tab w:val="right" w:pos="9020"/>
      </w:tabs>
    </w:pPr>
    <w:rPr>
      <w:rFonts w:ascii="Helvetica" w:hAnsi="Helvetica" w:cs="Arial Unicode MS"/>
      <w:color w:val="000000"/>
      <w:sz w:val="24"/>
      <w:szCs w:val="24"/>
    </w:rPr>
  </w:style>
  <w:style w:type="paragraph" w:styleId="Zpat">
    <w:name w:val="footer"/>
    <w:link w:val="ZpatChar"/>
    <w:uiPriority w:val="99"/>
    <w:pPr>
      <w:tabs>
        <w:tab w:val="right" w:pos="7371"/>
      </w:tabs>
      <w:spacing w:line="200" w:lineRule="atLeast"/>
    </w:pPr>
    <w:rPr>
      <w:rFonts w:ascii="Verdana" w:hAnsi="Verdana" w:cs="Arial Unicode MS"/>
      <w:color w:val="000000"/>
      <w:sz w:val="16"/>
      <w:szCs w:val="16"/>
      <w:u w:color="000000"/>
      <w:lang w:val="en-US"/>
    </w:rPr>
  </w:style>
  <w:style w:type="paragraph" w:styleId="Zhlav">
    <w:name w:val="header"/>
    <w:pPr>
      <w:tabs>
        <w:tab w:val="center" w:pos="4513"/>
        <w:tab w:val="right" w:pos="9026"/>
      </w:tabs>
      <w:spacing w:line="240" w:lineRule="atLeast"/>
    </w:pPr>
    <w:rPr>
      <w:rFonts w:ascii="Verdana" w:eastAsia="Verdana" w:hAnsi="Verdana" w:cs="Verdana"/>
      <w:b/>
      <w:bCs/>
      <w:color w:val="000000"/>
      <w:sz w:val="14"/>
      <w:szCs w:val="14"/>
      <w:u w:color="000000"/>
      <w:lang w:val="en-US"/>
    </w:rPr>
  </w:style>
  <w:style w:type="paragraph" w:customStyle="1" w:styleId="Text">
    <w:name w:val="Text"/>
    <w:pPr>
      <w:spacing w:line="240" w:lineRule="atLeast"/>
    </w:pPr>
    <w:rPr>
      <w:rFonts w:ascii="Verdana" w:eastAsia="Verdana" w:hAnsi="Verdana" w:cs="Verdana"/>
      <w:color w:val="000000"/>
      <w:sz w:val="17"/>
      <w:szCs w:val="17"/>
      <w:u w:color="000000"/>
    </w:rPr>
  </w:style>
  <w:style w:type="paragraph" w:customStyle="1" w:styleId="Documenttitle">
    <w:name w:val="Document title"/>
    <w:pPr>
      <w:spacing w:line="440" w:lineRule="atLeast"/>
    </w:pPr>
    <w:rPr>
      <w:rFonts w:ascii="Verdana" w:hAnsi="Verdana" w:cs="Arial Unicode MS"/>
      <w:b/>
      <w:bCs/>
      <w:color w:val="000000"/>
      <w:sz w:val="36"/>
      <w:szCs w:val="36"/>
      <w:u w:color="000000"/>
      <w:lang w:val="en-US"/>
    </w:rPr>
  </w:style>
  <w:style w:type="character" w:customStyle="1" w:styleId="Odkaz">
    <w:name w:val="Odkaz"/>
    <w:rPr>
      <w:color w:val="00A3E0"/>
      <w:u w:val="single" w:color="00A3E0"/>
    </w:rPr>
  </w:style>
  <w:style w:type="character" w:customStyle="1" w:styleId="Hyperlink0">
    <w:name w:val="Hyperlink.0"/>
    <w:basedOn w:val="Odkaz"/>
    <w:rPr>
      <w:color w:val="62B5E5"/>
      <w:u w:val="none" w:color="62B5E5"/>
    </w:rPr>
  </w:style>
  <w:style w:type="paragraph" w:styleId="Odstavecseseznamem">
    <w:name w:val="List Paragraph"/>
    <w:uiPriority w:val="34"/>
    <w:qFormat/>
    <w:pPr>
      <w:spacing w:line="240" w:lineRule="atLeast"/>
      <w:ind w:left="720"/>
    </w:pPr>
    <w:rPr>
      <w:rFonts w:ascii="Verdana" w:hAnsi="Verdana" w:cs="Arial Unicode MS"/>
      <w:color w:val="000000"/>
      <w:sz w:val="17"/>
      <w:szCs w:val="17"/>
      <w:u w:color="000000"/>
      <w:lang w:val="en-US"/>
    </w:rPr>
  </w:style>
  <w:style w:type="numbering" w:customStyle="1" w:styleId="Importovanstyl1">
    <w:name w:val="Importovaný styl 1"/>
    <w:pPr>
      <w:numPr>
        <w:numId w:val="1"/>
      </w:numPr>
    </w:pPr>
  </w:style>
  <w:style w:type="character" w:styleId="Sledovanodkaz">
    <w:name w:val="FollowedHyperlink"/>
    <w:basedOn w:val="Standardnpsmoodstavce"/>
    <w:uiPriority w:val="99"/>
    <w:semiHidden/>
    <w:unhideWhenUsed/>
    <w:rsid w:val="009F3AB7"/>
    <w:rPr>
      <w:color w:val="FF00FF" w:themeColor="followed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16CA7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16CA7"/>
    <w:rPr>
      <w:rFonts w:ascii="Segoe UI" w:hAnsi="Segoe UI" w:cs="Segoe UI"/>
      <w:sz w:val="18"/>
      <w:szCs w:val="18"/>
      <w:lang w:val="en-US" w:eastAsia="en-US"/>
    </w:rPr>
  </w:style>
  <w:style w:type="character" w:styleId="Odkaznakoment">
    <w:name w:val="annotation reference"/>
    <w:basedOn w:val="Standardnpsmoodstavce"/>
    <w:uiPriority w:val="99"/>
    <w:semiHidden/>
    <w:unhideWhenUsed/>
    <w:rsid w:val="00B16CA7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B16CA7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B16CA7"/>
    <w:rPr>
      <w:lang w:val="en-US"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B16CA7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B16CA7"/>
    <w:rPr>
      <w:b/>
      <w:bCs/>
      <w:lang w:val="en-US" w:eastAsia="en-US"/>
    </w:rPr>
  </w:style>
  <w:style w:type="paragraph" w:styleId="Revize">
    <w:name w:val="Revision"/>
    <w:hidden/>
    <w:uiPriority w:val="99"/>
    <w:semiHidden/>
    <w:rsid w:val="00B16CA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sz w:val="24"/>
      <w:szCs w:val="24"/>
      <w:lang w:val="en-US" w:eastAsia="en-US"/>
    </w:rPr>
  </w:style>
  <w:style w:type="character" w:customStyle="1" w:styleId="apple-converted-space">
    <w:name w:val="apple-converted-space"/>
    <w:basedOn w:val="Standardnpsmoodstavce"/>
    <w:rsid w:val="00CB532C"/>
  </w:style>
  <w:style w:type="character" w:customStyle="1" w:styleId="ZpatChar">
    <w:name w:val="Zápatí Char"/>
    <w:link w:val="Zpat"/>
    <w:uiPriority w:val="99"/>
    <w:rsid w:val="00D2020E"/>
    <w:rPr>
      <w:rFonts w:ascii="Verdana" w:hAnsi="Verdana" w:cs="Arial Unicode MS"/>
      <w:color w:val="000000"/>
      <w:sz w:val="16"/>
      <w:szCs w:val="16"/>
      <w:u w:color="000000"/>
      <w:lang w:val="en-US"/>
    </w:rPr>
  </w:style>
  <w:style w:type="character" w:customStyle="1" w:styleId="bodytext1">
    <w:name w:val="bodytext1"/>
    <w:basedOn w:val="Standardnpsmoodstavce"/>
    <w:rsid w:val="0097717C"/>
    <w:rPr>
      <w:rFonts w:ascii="Verdana" w:hAnsi="Verdana" w:hint="default"/>
      <w:sz w:val="18"/>
      <w:szCs w:val="18"/>
    </w:rPr>
  </w:style>
  <w:style w:type="paragraph" w:customStyle="1" w:styleId="BodyText10">
    <w:name w:val="Body Text1"/>
    <w:qFormat/>
    <w:rsid w:val="00B123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80" w:line="250" w:lineRule="atLeast"/>
    </w:pPr>
    <w:rPr>
      <w:rFonts w:ascii="Arial" w:eastAsiaTheme="minorHAnsi" w:hAnsi="Arial"/>
      <w:color w:val="000000"/>
      <w:sz w:val="18"/>
      <w:szCs w:val="48"/>
      <w:bdr w:val="none" w:sz="0" w:space="0" w:color="auto"/>
      <w:lang w:eastAsia="en-US"/>
    </w:rPr>
  </w:style>
  <w:style w:type="paragraph" w:customStyle="1" w:styleId="CaptionIntroductionparagraph">
    <w:name w:val="Caption Introduction paragraph"/>
    <w:qFormat/>
    <w:rsid w:val="00B123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Arial" w:eastAsia="Times New Roman" w:hAnsi="Arial"/>
      <w:b/>
      <w:color w:val="00A3E0"/>
      <w:sz w:val="24"/>
      <w:szCs w:val="22"/>
      <w:bdr w:val="none" w:sz="0" w:space="0" w:color="auto"/>
      <w:lang w:eastAsia="en-US"/>
    </w:rPr>
  </w:style>
  <w:style w:type="paragraph" w:customStyle="1" w:styleId="TextA">
    <w:name w:val="Text A"/>
    <w:rsid w:val="001B3A47"/>
    <w:rPr>
      <w:rFonts w:ascii="Helvetica" w:hAnsi="Helvetica" w:cs="Arial Unicode MS"/>
      <w:color w:val="000000"/>
      <w:sz w:val="22"/>
      <w:szCs w:val="22"/>
      <w:u w:color="000000"/>
    </w:rPr>
  </w:style>
  <w:style w:type="numbering" w:customStyle="1" w:styleId="Odrky">
    <w:name w:val="Odrážky"/>
    <w:rsid w:val="001B3A47"/>
    <w:pPr>
      <w:numPr>
        <w:numId w:val="7"/>
      </w:numPr>
    </w:pPr>
  </w:style>
  <w:style w:type="paragraph" w:styleId="Normlnweb">
    <w:name w:val="Normal (Web)"/>
    <w:basedOn w:val="Normln"/>
    <w:uiPriority w:val="99"/>
    <w:unhideWhenUsed/>
    <w:rsid w:val="00D72F6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paragraph" w:customStyle="1" w:styleId="Default">
    <w:name w:val="Default"/>
    <w:basedOn w:val="Normln"/>
    <w:rsid w:val="008B5B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eastAsiaTheme="minorHAnsi"/>
      <w:color w:val="000000"/>
      <w:bdr w:val="none" w:sz="0" w:space="0" w:color="auto"/>
      <w:lang w:val="cs-CZ"/>
    </w:rPr>
  </w:style>
  <w:style w:type="paragraph" w:styleId="Bezmezer">
    <w:name w:val="No Spacing"/>
    <w:uiPriority w:val="1"/>
    <w:qFormat/>
    <w:rsid w:val="00D571A5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8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49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93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14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87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Deloitte_US_Letter_Print Theme">
  <a:themeElements>
    <a:clrScheme name="Deloitte_US_Letter_Print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86BC25"/>
      </a:accent1>
      <a:accent2>
        <a:srgbClr val="2C5234"/>
      </a:accent2>
      <a:accent3>
        <a:srgbClr val="62B5E5"/>
      </a:accent3>
      <a:accent4>
        <a:srgbClr val="012169"/>
      </a:accent4>
      <a:accent5>
        <a:srgbClr val="0097A9"/>
      </a:accent5>
      <a:accent6>
        <a:srgbClr val="75787B"/>
      </a:accent6>
      <a:hlink>
        <a:srgbClr val="0000FF"/>
      </a:hlink>
      <a:folHlink>
        <a:srgbClr val="FF00FF"/>
      </a:folHlink>
    </a:clrScheme>
    <a:fontScheme name="Deloitte_US_Letter_Print Theme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Deloitte_US_Letter_Print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88900" tIns="88900" rIns="88900" bIns="88900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Verdana"/>
            <a:ea typeface="Verdana"/>
            <a:cs typeface="Verdana"/>
            <a:sym typeface="Verdan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69699A-0401-4481-B50F-4B40EFA08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918</Words>
  <Characters>5417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Deloitte Touche Tohmatsu Services, Inc.</Company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Vyskocilova, Klara (CZ - Prague)</dc:creator>
  <cp:lastModifiedBy>Foretova Katerina</cp:lastModifiedBy>
  <cp:revision>2</cp:revision>
  <cp:lastPrinted>2017-05-26T14:40:00Z</cp:lastPrinted>
  <dcterms:created xsi:type="dcterms:W3CDTF">2019-03-20T20:06:00Z</dcterms:created>
  <dcterms:modified xsi:type="dcterms:W3CDTF">2019-03-20T20:06:00Z</dcterms:modified>
</cp:coreProperties>
</file>