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965" w:rsidRPr="00DF4965" w:rsidRDefault="00DF4965" w:rsidP="00DF4965">
      <w:pPr>
        <w:spacing w:before="240" w:after="600" w:line="240" w:lineRule="auto"/>
        <w:jc w:val="center"/>
        <w:rPr>
          <w:rFonts w:ascii="Arial" w:eastAsia="Times New Roman" w:hAnsi="Arial" w:cs="Arial"/>
          <w:b/>
          <w:bCs/>
          <w:sz w:val="24"/>
          <w:lang w:eastAsia="cs-CZ"/>
        </w:rPr>
      </w:pPr>
      <w:r w:rsidRPr="00DF4965">
        <w:rPr>
          <w:rFonts w:ascii="Arial" w:eastAsia="Times New Roman" w:hAnsi="Arial" w:cs="Arial"/>
          <w:b/>
          <w:caps/>
          <w:sz w:val="24"/>
          <w:lang w:eastAsia="cs-CZ"/>
        </w:rPr>
        <w:t>Vypořádání připomínek k materiálu s názvem:</w:t>
      </w:r>
    </w:p>
    <w:p w:rsidR="00CA7E56" w:rsidRPr="00CA7E56" w:rsidRDefault="00CA7E56" w:rsidP="00725C68">
      <w:pPr>
        <w:spacing w:before="240" w:after="240"/>
        <w:jc w:val="center"/>
        <w:rPr>
          <w:rFonts w:ascii="Times New Roman" w:hAnsi="Times New Roman" w:cs="Times New Roman"/>
          <w:b/>
          <w:sz w:val="24"/>
        </w:rPr>
      </w:pPr>
      <w:r w:rsidRPr="00CA7E56">
        <w:rPr>
          <w:rFonts w:ascii="Times New Roman" w:hAnsi="Times New Roman" w:cs="Times New Roman"/>
          <w:b/>
          <w:bCs/>
          <w:sz w:val="24"/>
        </w:rPr>
        <w:t>Návrh zákona o ochraně oznamovatelů</w:t>
      </w:r>
    </w:p>
    <w:p w:rsidR="00CA7E56" w:rsidRPr="00CA7E56" w:rsidRDefault="00CA7E56" w:rsidP="00CA7E56">
      <w:pPr>
        <w:spacing w:before="240" w:after="240"/>
        <w:jc w:val="both"/>
        <w:rPr>
          <w:rFonts w:ascii="Times New Roman" w:hAnsi="Times New Roman" w:cs="Times New Roman"/>
          <w:sz w:val="24"/>
        </w:rPr>
      </w:pPr>
      <w:r w:rsidRPr="00CA7E56">
        <w:rPr>
          <w:rFonts w:ascii="Times New Roman" w:hAnsi="Times New Roman" w:cs="Times New Roman"/>
          <w:sz w:val="24"/>
        </w:rPr>
        <w:t xml:space="preserve">Dle Jednacího řádu vlády byl materiál rozeslán do meziresortního připomínkového řízení dopisem ministra </w:t>
      </w:r>
      <w:r w:rsidR="00DF68CE">
        <w:rPr>
          <w:rFonts w:ascii="Times New Roman" w:hAnsi="Times New Roman" w:cs="Times New Roman"/>
          <w:sz w:val="24"/>
        </w:rPr>
        <w:t>spravedlnosti dne 31. 10. 2018,</w:t>
      </w:r>
      <w:r w:rsidR="00247358">
        <w:rPr>
          <w:rFonts w:ascii="Times New Roman" w:hAnsi="Times New Roman" w:cs="Times New Roman"/>
          <w:sz w:val="24"/>
        </w:rPr>
        <w:t xml:space="preserve"> </w:t>
      </w:r>
      <w:r w:rsidRPr="00CA7E56">
        <w:rPr>
          <w:rFonts w:ascii="Times New Roman" w:hAnsi="Times New Roman" w:cs="Times New Roman"/>
          <w:sz w:val="24"/>
        </w:rPr>
        <w:t>s termínem dodání připomínek do 28. 11. 2018. Vyhodnocení tohoto řízení je uvedeno v následující tabulce: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9"/>
        <w:gridCol w:w="5433"/>
        <w:gridCol w:w="2446"/>
      </w:tblGrid>
      <w:tr w:rsidR="00D228CF" w:rsidRPr="00D228CF" w:rsidTr="004F62C4">
        <w:tc>
          <w:tcPr>
            <w:tcW w:w="758" w:type="pct"/>
            <w:shd w:val="clear" w:color="auto" w:fill="auto"/>
          </w:tcPr>
          <w:p w:rsidR="00D228CF" w:rsidRPr="00D228CF" w:rsidRDefault="00D228CF" w:rsidP="00D228C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Komora daňových poradců ČR</w:t>
            </w:r>
          </w:p>
        </w:tc>
        <w:tc>
          <w:tcPr>
            <w:tcW w:w="2924" w:type="pct"/>
            <w:shd w:val="clear" w:color="auto" w:fill="auto"/>
          </w:tcPr>
          <w:p w:rsidR="00D228CF" w:rsidRPr="00D228CF" w:rsidRDefault="00D228CF" w:rsidP="00D2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Návrh zákona zavádí systém oznamování trestných činů a přestupků u všech zaměstnavatelů, zvýšené požadavky pak klade na povinné osoby podle zákona č. 253/2008 Sb., konkrétně zavedení vnitřního systému oznamování. </w:t>
            </w:r>
          </w:p>
          <w:p w:rsidR="00D228CF" w:rsidRPr="00D228CF" w:rsidRDefault="00D228CF" w:rsidP="00D2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Důvodová zpráva jako důvod předložení návrhu uvádí: </w:t>
            </w:r>
          </w:p>
          <w:p w:rsidR="00D228CF" w:rsidRPr="00D228CF" w:rsidRDefault="00D228CF" w:rsidP="00D228CF">
            <w:pPr>
              <w:spacing w:before="120" w:after="120" w:line="240" w:lineRule="auto"/>
              <w:ind w:right="-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„Současná vláda se v Programovém prohlášení vlády České republiky </w:t>
            </w:r>
            <w:r w:rsidRPr="00D228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(dále jen „</w:t>
            </w:r>
            <w:r w:rsidRPr="00D228CF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ČR”) zavázala, že </w:t>
            </w:r>
            <w:r w:rsidRPr="00D228CF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cs-CZ"/>
              </w:rPr>
              <w:t>„</w:t>
            </w:r>
            <w:r w:rsidRPr="00D228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cs-CZ"/>
              </w:rPr>
              <w:t xml:space="preserve">předloží zejména účinné právní nástroje k ochraně oznamovatelů korupce (whistleblowing)“ </w:t>
            </w:r>
            <w:r w:rsidRPr="00D228CF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(kapitola „Právo a spravedlnost“). Tento závazek je dále rozvinut ve Vládní koncepci boje s korupcí na léta 2018 až 2022. Legislativní řešení ochrany oznamovatelů je v protikorupčních dokumentech vlády zakotveno jako základní opatření v prioritní oblasti Rozvoj občanské společnosti.“ </w:t>
            </w:r>
          </w:p>
          <w:p w:rsidR="00D228CF" w:rsidRPr="00D228CF" w:rsidRDefault="00D228CF" w:rsidP="00D228CF">
            <w:pPr>
              <w:spacing w:before="120" w:after="120" w:line="240" w:lineRule="auto"/>
              <w:ind w:right="-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Návrh zákona však jde svým rozsahem nad tento důvod a cíl předložení návrhu a to v tom směru, že předmětem oznámení by měly být všechny trestné činy, přestupky, nebo jednání, které má znaky přestupku tedy nejen korupční jednání (§ 2 odst. 2). Navíc ne každé korupční jednání musí naplnit znaky kvalifikovaného veřejnoprávního deliktu, ale může jít o soukromoprávní delikt, který ovšem návrhem zákona řešen není. </w:t>
            </w:r>
          </w:p>
          <w:p w:rsidR="00D228CF" w:rsidRPr="00D228CF" w:rsidRDefault="00D228CF" w:rsidP="00D2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Podle § 3 návrhu zákona je respektována mlčenlivost podle jiných právních předpisů. Takovým předpisem je i zákon č. 523/1992 Sb., o daňovém poradenství a Komoře daňových poradců ČR, který upravuje profesní mlčenlivost daňového poradce ve svém § 6 odst. 9. </w:t>
            </w:r>
          </w:p>
          <w:p w:rsidR="00D228CF" w:rsidRPr="00D228CF" w:rsidRDefault="00D228CF" w:rsidP="00D2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Problémem navrhované úpravy je to, že tato mlčenlivosti zavazuje především samotného daňového poradce a daňově poradenskou společnost, dále sice také jejich pracovníky, nicméně odpovědnost za porušení mlčenlivosti především vůči klientovi (ale dále také např. disciplinární odpovědnost) nese samotný poradce nebo společnost, </w:t>
            </w:r>
            <w:r w:rsidRPr="00D228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 xml:space="preserve">tedy zaměstnavatel. A tato mlčenlivost je nastavena ve prospěch klienta v rámci jeho ústavně zaručeného práva na právní pomoc. </w:t>
            </w:r>
          </w:p>
          <w:p w:rsidR="00D228CF" w:rsidRPr="00D228CF" w:rsidRDefault="00D228CF" w:rsidP="00D2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Pokud by se tedy zaměstnanec daňového poradce nebo daňově poradenské společnosti domníval, že bylo jeho zaměstnavatelem nebo jiným zaměstnancem u tohoto zaměstnavatele, nebo členem orgánu zaměstnavatele spácháno kvalifikované protiprávní jednání, a toto jednání oznámil ať už orgánům činným v trestním řízení nebo Agentuře na ochranu oznamovatelů, dopustil by se porušení mlčenlivosti podle zákona č. 523/1992 Sb., nicméně odpovědnost za toto porušení by nesl jeho zaměstnavatel. </w:t>
            </w:r>
          </w:p>
          <w:p w:rsidR="00D228CF" w:rsidRPr="00D228CF" w:rsidRDefault="00D228CF" w:rsidP="00D2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problém umocňuje navíc skutečnost, že zaměstnance může mít často, a v případě tak složitých a komplexních služeb jako např. daňové poradenství, jen kusé informace a indicie o tom, že mohlo dojít k protiprávnímu jednání a svým oznámením by mohl poškodit klienta svého zaměstnavatele.  Tento problém je o to větší, že podle návrhu zákona se za porušení smluvní povinnosti mlčenlivosti zaměstnance nepovažuje jednání oznamovatele podle tohoto zákona. To by v praxi mohlo znamenat situaci, kdy zaměstnanec daňového poradce informuje dotčené orgány o skutečnostech, o kterých má podle zákona i pracovní smlouvy mlčet, tyto informace se nepotvrdí, zaměstnavatel však z tohoto protiprávního jednání nemůže vůči zaměstnanci vyvodit žádné pracovněprávní důsledky.</w:t>
            </w:r>
          </w:p>
          <w:p w:rsidR="00D228CF" w:rsidRPr="00D228CF" w:rsidRDefault="00D228CF" w:rsidP="00D2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Dále přistupuje otázka ochrany dobré víry třetích osob, které vstupují do právního vztahu s daňovým poradcem na základě důvěry v dodržení jeho zákonné povinnosti mlčenlivosti. Zákon neřeší situaci, kdy zaměstnanec provede oznámení na podezření z trestného činu (v různé fázi přípravy) ve spolupachatelství zaměstnavatele a jeho klienta. </w:t>
            </w:r>
          </w:p>
          <w:p w:rsidR="00D228CF" w:rsidRPr="00D228CF" w:rsidRDefault="00D228CF" w:rsidP="00D2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I pro profese, pro které platí zákonná povinnost mlčenlivosti, ale také pro jejich zaměstnance, platí povinnost překazit a oznámit trestný čin podle §§ 367 a 368 trestního zákoníku a dále povinnost oznámit podezřelý obchod podle zákona č. 253/2008 Sb., o některých opatřeních proti legalizaci výnosů z trestné činnosti a financování terorismu. </w:t>
            </w:r>
          </w:p>
          <w:p w:rsidR="00D228CF" w:rsidRPr="00D228CF" w:rsidRDefault="00D228CF" w:rsidP="00D2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Tyto speciální právní předpisy pak zohledňují specifika profesí s povinnou mlčelivostí a nejdou tak nad rámec nezbytně nutného k dosažení stanovených cílů. Cíle je tak, u profesí s povinnou mlčelivostí, dosahováno právě prostřednictví těchto speciálních právních norem. Prolamovat tuto mlčenlivost nad </w:t>
            </w:r>
            <w:r w:rsidRPr="00D228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 xml:space="preserve">tento rámec a to ještě nepřímo, považujeme za chybný a kontraproduktivní postup, který se může obrátit i proti cílům zamýšleným danou právní úpravou. </w:t>
            </w:r>
          </w:p>
          <w:p w:rsidR="00D228CF" w:rsidRPr="00D228CF" w:rsidRDefault="00D228CF" w:rsidP="00D2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Je nutné si uvědomit, že mlčenlivost u profesí jako je daňový poradce je ochrana nikoliv daňového poradce, ale jeho klienta, která je v souladu se zájmy státu (a to z hlediska toho, aby se podnikatelé a občané obraceli s důvěrou na odborníky a nepřecházeli do šedé či černé sféry ekonomiky) a představuje ústavní hodnotu. Takovéto nepřímé, široké a nijak nelimitované prolomení mlčenlivosti je tak zcela nepřípustné.</w:t>
            </w:r>
          </w:p>
          <w:p w:rsidR="00D228CF" w:rsidRPr="00D228CF" w:rsidRDefault="00D228CF" w:rsidP="00D2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Navíc nepovažujeme za koncepční a efektivní zřízení dalšího státního úřadu, kterému by se oznámení protiprávních jednání měla podávat. Budou tak vznikat konfliktní a nejednoznačné situace a výkladové problémy. Například co se má a nemá oznamovat ve vztahu k jednotlivým subjektům a jak vykládat výjimky (různé úřady mohou aplikovat různé výklady a podobně). Návrh dále přináší další administrativní povinnosti a náklady všem zaměstnavatelům, kteří mají podle § 5 návrhu povinnost zavést vnitřní oznamovací systém. Pokud je důvodem a cílem návrhu boj proti korupčnímu jednání, tak jak uvádí předkládací zpráva, měl by návrh směřovat vůči subjektům veřejné správy a jejich zaměstnanců. </w:t>
            </w:r>
          </w:p>
          <w:p w:rsidR="00D228CF" w:rsidRPr="00D228CF" w:rsidRDefault="00D228CF" w:rsidP="00D2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Dále vnímáme obecně i riziko možného cíleného zneužití navrženého systému v neprospěch jejich zaměstnavatelů, a to zejména širokým zákazem odvetných opatření podle § 12, přičemž není ani jasné rozložení důkazního břemene mezi zaměstnance a zaměstnavatele. Návrh zákona na takovéto riziko nijak nereaguje. V krajním případě může tento zákaz pro zaměstnavatele nebo úřad znamenat faktickou dlouhodobou nemožnost ukončení pracovního nebo služebního poměru, a to i v případě účelově podaných oznámení. Příkladem může být situace, kdy např. zaměstnanec oznámí podezření na spáchání trestného činu členem orgánu zaměstnavatele, přičemž oznámení se netýká druhu práce zaměstnance, a korupce se netýká výkonu funkce člena orgánu. Prošetření oznámení, včetně případného soudního řízení může trvat i více než 10 let.</w:t>
            </w:r>
          </w:p>
          <w:p w:rsidR="00D228CF" w:rsidRPr="00D228CF" w:rsidRDefault="00D228CF" w:rsidP="00D2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Návrh se nijak nevypořádává s prolamováním ústavní hodnoty v podobě mlčenlivosti daňových poradců a podobných profesí. Vůbec také není toto prolomení mlčelivosti jakkoliv limitováno a bude tak v rozporu s jiným právními předpisy a ve svém důsledku </w:t>
            </w:r>
            <w:r w:rsidRPr="00D228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>s Ústavou. Jsme tak přesvědčení, že je nepřijatelné, aby takto nepřímo docházelo bez jakékoliv limitace k prolamování ústavní hodnoty v podobě zákonem stanovené mlčenlivosti.</w:t>
            </w:r>
          </w:p>
          <w:p w:rsidR="00D228CF" w:rsidRPr="00D228CF" w:rsidRDefault="00D228CF" w:rsidP="00D2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Zákon stanoví pro kvalifikované zaměstnavatele povinnost vnitřního oznamovacího systému (§ 4), přičemž však není stanovena žádná přímá sankce při nezavedení. Není tedy jasné, zda jde o ustanovení bez sankce nebo nesplnění této povinnosti bude trestáno v rámci obecné přestupkové agendy.</w:t>
            </w:r>
          </w:p>
          <w:p w:rsidR="00D228CF" w:rsidRPr="00D228CF" w:rsidRDefault="00D228CF" w:rsidP="00D2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Návrh a zásadní připomínka: </w:t>
            </w:r>
          </w:p>
          <w:p w:rsidR="00D228CF" w:rsidRPr="00D228CF" w:rsidRDefault="00D228CF" w:rsidP="00D2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Na základě výše uvedeného navrhujeme vypustit daňové poradce a jiné podobné profese s povinnou, zákonem zakotvenou mlčelivostí, z regulace dané právní normy.</w:t>
            </w:r>
          </w:p>
          <w:p w:rsidR="00D228CF" w:rsidRPr="00D228CF" w:rsidRDefault="00D228CF" w:rsidP="00D2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Dále navrhujeme u ostatních zaměstnavatelů odstranit povinnost zavedení vnitřního oznamovacího systému a vyloučení faktické nemožnosti ukončení pracovního poměru po dobu prošetřování oznámení.</w:t>
            </w:r>
          </w:p>
          <w:p w:rsidR="00D228CF" w:rsidRPr="00D228CF" w:rsidRDefault="00D228CF" w:rsidP="00D228CF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D228CF" w:rsidRPr="00D228CF" w:rsidRDefault="00D228CF" w:rsidP="00D228CF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D228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Tato připomínka je zásadní.</w:t>
            </w:r>
          </w:p>
        </w:tc>
        <w:tc>
          <w:tcPr>
            <w:tcW w:w="1317" w:type="pct"/>
            <w:shd w:val="clear" w:color="auto" w:fill="auto"/>
          </w:tcPr>
          <w:p w:rsidR="00D228CF" w:rsidRPr="00212C9B" w:rsidRDefault="00D228CF" w:rsidP="00D228CF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  <w:lang w:eastAsia="cs-CZ"/>
              </w:rPr>
            </w:pPr>
            <w:r w:rsidRPr="00212C9B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  <w:lang w:eastAsia="cs-CZ"/>
              </w:rPr>
              <w:lastRenderedPageBreak/>
              <w:t xml:space="preserve">Neakceptováno. </w:t>
            </w:r>
          </w:p>
          <w:p w:rsidR="00D228CF" w:rsidRPr="00212C9B" w:rsidRDefault="00D228CF" w:rsidP="00D228CF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cs-CZ"/>
              </w:rPr>
            </w:pPr>
            <w:r w:rsidRPr="00212C9B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cs-CZ"/>
              </w:rPr>
              <w:t>Níže uvedené požadavky jdou mimo rámec zadání vlády (regulace whistleblowingu v souladu s mezinárodními doporučeními), tj. mimo jiné zavést interní oznamovací mechanismy a poskytnout oznamovatelům ochranu před odvetnými opatřeními (zejména před výpovědí z pracovního poměru).</w:t>
            </w:r>
          </w:p>
          <w:p w:rsidR="00212C9B" w:rsidRDefault="00212C9B" w:rsidP="00D228CF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212C9B" w:rsidRPr="00212C9B" w:rsidRDefault="00212C9B" w:rsidP="00212C9B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212C9B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Částečně akceptováno</w:t>
            </w:r>
            <w:r w:rsidRPr="00212C9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.</w:t>
            </w:r>
          </w:p>
          <w:p w:rsidR="00212C9B" w:rsidRPr="00212C9B" w:rsidRDefault="00212C9B" w:rsidP="00212C9B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</w:p>
          <w:p w:rsidR="00212C9B" w:rsidRPr="00212C9B" w:rsidRDefault="00212C9B" w:rsidP="00212C9B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Problematika m</w:t>
            </w:r>
            <w:r w:rsidRPr="00212C9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lčenlivost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i</w:t>
            </w:r>
            <w:r w:rsidRPr="00212C9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 je 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v návrhu zákona </w:t>
            </w:r>
            <w:r w:rsidRPr="00212C9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upravena 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takto:</w:t>
            </w:r>
          </w:p>
          <w:p w:rsidR="00212C9B" w:rsidRPr="00212C9B" w:rsidRDefault="00212C9B" w:rsidP="00212C9B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</w:p>
          <w:p w:rsidR="00212C9B" w:rsidRPr="00212C9B" w:rsidRDefault="00212C9B" w:rsidP="00212C9B">
            <w:pPr>
              <w:spacing w:after="0"/>
              <w:jc w:val="center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212C9B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>§ 5</w:t>
            </w:r>
          </w:p>
          <w:p w:rsidR="00212C9B" w:rsidRPr="00212C9B" w:rsidRDefault="00212C9B" w:rsidP="00212C9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</w:pPr>
            <w:r w:rsidRPr="00212C9B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  <w:t>Mlčenlivost</w:t>
            </w:r>
          </w:p>
          <w:p w:rsidR="00212C9B" w:rsidRPr="00212C9B" w:rsidRDefault="00212C9B" w:rsidP="00212C9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</w:pPr>
          </w:p>
          <w:p w:rsidR="00212C9B" w:rsidRPr="00212C9B" w:rsidRDefault="00212C9B" w:rsidP="00212C9B">
            <w:pPr>
              <w:ind w:firstLine="426"/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212C9B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 xml:space="preserve">(1) Tímto zákonem není dotčena povinnost zachovávat mlčenlivost podle jiných právních </w:t>
            </w:r>
            <w:r w:rsidRPr="00212C9B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lastRenderedPageBreak/>
              <w:t xml:space="preserve">předpisů. </w:t>
            </w:r>
          </w:p>
          <w:p w:rsidR="00212C9B" w:rsidRPr="00212C9B" w:rsidRDefault="00212C9B" w:rsidP="00212C9B">
            <w:pPr>
              <w:ind w:firstLine="426"/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212C9B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>(2) Za porušení smluvní povinnosti mlčenlivosti se nepovažuje jednání oznamovatele podle tohoto zákona.</w:t>
            </w:r>
          </w:p>
          <w:p w:rsidR="00212C9B" w:rsidRDefault="00212C9B" w:rsidP="00212C9B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212C9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Důvo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dová zpráva k § 5 byla doplněna:</w:t>
            </w:r>
          </w:p>
          <w:p w:rsidR="00212C9B" w:rsidRPr="00212C9B" w:rsidRDefault="00212C9B" w:rsidP="00212C9B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cs-CZ"/>
              </w:rPr>
            </w:pPr>
            <w:r w:rsidRPr="00212C9B"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cs-CZ"/>
              </w:rPr>
              <w:t xml:space="preserve">Z mezinárodních doporučení a příkladů dobré praxe vyplynul požadavek na zakotvení neúčinnosti smluvní povinnosti mlčenlivosti v případě oznamování, jelikož veřejný zájem </w:t>
            </w:r>
            <w:r w:rsidRPr="00212C9B"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cs-CZ"/>
              </w:rPr>
              <w:br/>
              <w:t xml:space="preserve">na oznamování protiprávních jednání v dané situaci převáží nad požadavkem na dodržení smluvního závazku. Zákonná povinnost mlčenlivosti dotčena není. </w:t>
            </w:r>
            <w:r w:rsidRPr="00212C9B">
              <w:rPr>
                <w:rFonts w:ascii="Times New Roman" w:eastAsia="Times New Roman" w:hAnsi="Times New Roman" w:cs="Times New Roman"/>
                <w:b/>
                <w:i/>
                <w:color w:val="FF0000"/>
                <w:sz w:val="24"/>
                <w:szCs w:val="24"/>
                <w:lang w:eastAsia="cs-CZ"/>
              </w:rPr>
              <w:t>To znamená, že se oznamování netýká případů, kdy se uplatňuje mlčenlivost podle zvláštních právních předpisů (např. poskytování daňového poradenství ve smyslu zákona č. 523/1992 Sb., o daňovém poradenství a Komoře daňových poradců České republiky, nebo výkon advokacie podle zákona č. 85/199</w:t>
            </w:r>
            <w:r w:rsidR="00290A33">
              <w:rPr>
                <w:rFonts w:ascii="Times New Roman" w:eastAsia="Times New Roman" w:hAnsi="Times New Roman" w:cs="Times New Roman"/>
                <w:b/>
                <w:i/>
                <w:color w:val="FF0000"/>
                <w:sz w:val="24"/>
                <w:szCs w:val="24"/>
                <w:lang w:eastAsia="cs-CZ"/>
              </w:rPr>
              <w:t>6</w:t>
            </w:r>
            <w:bookmarkStart w:id="0" w:name="_GoBack"/>
            <w:bookmarkEnd w:id="0"/>
            <w:r w:rsidRPr="00212C9B">
              <w:rPr>
                <w:rFonts w:ascii="Times New Roman" w:eastAsia="Times New Roman" w:hAnsi="Times New Roman" w:cs="Times New Roman"/>
                <w:b/>
                <w:i/>
                <w:color w:val="FF0000"/>
                <w:sz w:val="24"/>
                <w:szCs w:val="24"/>
                <w:lang w:eastAsia="cs-CZ"/>
              </w:rPr>
              <w:t xml:space="preserve"> Sb., o advokacii).</w:t>
            </w:r>
          </w:p>
          <w:p w:rsidR="00212C9B" w:rsidRDefault="00212C9B" w:rsidP="00212C9B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212C9B" w:rsidRPr="00D228CF" w:rsidRDefault="00212C9B" w:rsidP="00212C9B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12C9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Další požadavky jdou mimo rámec zadání vlády (regulace </w:t>
            </w:r>
            <w:r w:rsidRPr="00212C9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lastRenderedPageBreak/>
              <w:t>whistleblowingu v souladu s mezinárodními doporučeními), tj. mimo jiné zavést interní oznamovací mechanismy a poskytnout oznamovatelům ochranu před odvetnými opatřeními (zejména před výpovědí z pracovního poměru).</w:t>
            </w:r>
          </w:p>
        </w:tc>
      </w:tr>
    </w:tbl>
    <w:p w:rsidR="00981912" w:rsidRDefault="00981912" w:rsidP="009E303E"/>
    <w:sectPr w:rsidR="00981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F6872"/>
    <w:multiLevelType w:val="hybridMultilevel"/>
    <w:tmpl w:val="26223C62"/>
    <w:lvl w:ilvl="0" w:tplc="040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>
    <w:nsid w:val="121C6E22"/>
    <w:multiLevelType w:val="hybridMultilevel"/>
    <w:tmpl w:val="687A83C2"/>
    <w:lvl w:ilvl="0" w:tplc="86E47C3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DE876C4"/>
    <w:multiLevelType w:val="multilevel"/>
    <w:tmpl w:val="0EFE667E"/>
    <w:lvl w:ilvl="0">
      <w:start w:val="1"/>
      <w:numFmt w:val="none"/>
      <w:pStyle w:val="Nadpis1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pStyle w:val="Nadpis2"/>
      <w:suff w:val="nothing"/>
      <w:lvlText w:val="%2"/>
      <w:lvlJc w:val="left"/>
    </w:lvl>
    <w:lvl w:ilvl="2">
      <w:start w:val="1"/>
      <w:numFmt w:val="decimal"/>
      <w:pStyle w:val="Nadpis3"/>
      <w:suff w:val="space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pStyle w:val="Nadpis8"/>
      <w:suff w:val="space"/>
      <w:lvlText w:val="%8)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21BA0689"/>
    <w:multiLevelType w:val="hybridMultilevel"/>
    <w:tmpl w:val="C42A1F20"/>
    <w:lvl w:ilvl="0" w:tplc="D6787A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79096C"/>
    <w:multiLevelType w:val="hybridMultilevel"/>
    <w:tmpl w:val="5F4A1D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415A2"/>
    <w:multiLevelType w:val="hybridMultilevel"/>
    <w:tmpl w:val="4DFC1104"/>
    <w:lvl w:ilvl="0" w:tplc="FFFFFFFF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5FC25C0D"/>
    <w:multiLevelType w:val="hybridMultilevel"/>
    <w:tmpl w:val="DE7A8C00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8AB3370"/>
    <w:multiLevelType w:val="hybridMultilevel"/>
    <w:tmpl w:val="7736CDB6"/>
    <w:lvl w:ilvl="0" w:tplc="6ABAF4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970"/>
    <w:rsid w:val="0016695D"/>
    <w:rsid w:val="001C2254"/>
    <w:rsid w:val="001D3643"/>
    <w:rsid w:val="001F6300"/>
    <w:rsid w:val="00212C9B"/>
    <w:rsid w:val="00247358"/>
    <w:rsid w:val="00282E1C"/>
    <w:rsid w:val="00290A33"/>
    <w:rsid w:val="00324747"/>
    <w:rsid w:val="003F107F"/>
    <w:rsid w:val="00432E49"/>
    <w:rsid w:val="00640209"/>
    <w:rsid w:val="006B3878"/>
    <w:rsid w:val="006B7970"/>
    <w:rsid w:val="006D7DF9"/>
    <w:rsid w:val="0073466D"/>
    <w:rsid w:val="00885B92"/>
    <w:rsid w:val="00981912"/>
    <w:rsid w:val="009850D9"/>
    <w:rsid w:val="009E303E"/>
    <w:rsid w:val="009F67C3"/>
    <w:rsid w:val="00A545E5"/>
    <w:rsid w:val="00B13B64"/>
    <w:rsid w:val="00B232F9"/>
    <w:rsid w:val="00B86301"/>
    <w:rsid w:val="00CA7E56"/>
    <w:rsid w:val="00D228CF"/>
    <w:rsid w:val="00D74921"/>
    <w:rsid w:val="00D92432"/>
    <w:rsid w:val="00DB2BFC"/>
    <w:rsid w:val="00DF4965"/>
    <w:rsid w:val="00DF68CE"/>
    <w:rsid w:val="00E165F9"/>
    <w:rsid w:val="00E90C8F"/>
    <w:rsid w:val="00F16DE8"/>
    <w:rsid w:val="00F6433F"/>
    <w:rsid w:val="00F91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6D7DF9"/>
    <w:pPr>
      <w:keepNext/>
      <w:numPr>
        <w:numId w:val="4"/>
      </w:numPr>
      <w:tabs>
        <w:tab w:val="clear" w:pos="360"/>
      </w:tabs>
      <w:spacing w:after="0" w:line="240" w:lineRule="auto"/>
      <w:ind w:left="0" w:firstLine="0"/>
      <w:jc w:val="center"/>
      <w:outlineLvl w:val="0"/>
    </w:pPr>
    <w:rPr>
      <w:rFonts w:ascii="Arial" w:eastAsia="Times New Roman" w:hAnsi="Arial" w:cs="Arial"/>
      <w:b/>
      <w:bCs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6D7DF9"/>
    <w:pPr>
      <w:keepNext/>
      <w:numPr>
        <w:ilvl w:val="1"/>
        <w:numId w:val="4"/>
      </w:numPr>
      <w:spacing w:after="0" w:line="240" w:lineRule="auto"/>
      <w:outlineLvl w:val="1"/>
    </w:pPr>
    <w:rPr>
      <w:rFonts w:ascii="Arial" w:eastAsia="Times New Roman" w:hAnsi="Arial" w:cs="Arial"/>
      <w:b/>
      <w:bCs/>
      <w:caps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unhideWhenUsed/>
    <w:qFormat/>
    <w:rsid w:val="006D7DF9"/>
    <w:pPr>
      <w:keepNext/>
      <w:numPr>
        <w:ilvl w:val="2"/>
        <w:numId w:val="4"/>
      </w:numPr>
      <w:spacing w:before="240" w:after="60" w:line="240" w:lineRule="auto"/>
      <w:ind w:left="0" w:firstLine="0"/>
      <w:outlineLvl w:val="2"/>
    </w:pPr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paragraph" w:styleId="Nadpis8">
    <w:name w:val="heading 8"/>
    <w:basedOn w:val="Normln"/>
    <w:next w:val="Normln"/>
    <w:link w:val="Nadpis8Char"/>
    <w:unhideWhenUsed/>
    <w:qFormat/>
    <w:rsid w:val="006D7DF9"/>
    <w:pPr>
      <w:numPr>
        <w:ilvl w:val="7"/>
        <w:numId w:val="4"/>
      </w:numPr>
      <w:spacing w:before="240" w:after="60" w:line="240" w:lineRule="auto"/>
      <w:ind w:left="0" w:firstLine="0"/>
      <w:outlineLvl w:val="7"/>
    </w:pPr>
    <w:rPr>
      <w:rFonts w:ascii="Calibri" w:eastAsia="Times New Roman" w:hAnsi="Calibri" w:cs="Times New Roman"/>
      <w:i/>
      <w:i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znamka">
    <w:name w:val="poznamka"/>
    <w:basedOn w:val="Normln"/>
    <w:rsid w:val="003F1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6D7DF9"/>
    <w:rPr>
      <w:rFonts w:ascii="Arial" w:eastAsia="Times New Roman" w:hAnsi="Arial" w:cs="Arial"/>
      <w:b/>
      <w:b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6D7DF9"/>
    <w:rPr>
      <w:rFonts w:ascii="Arial" w:eastAsia="Times New Roman" w:hAnsi="Arial" w:cs="Arial"/>
      <w:b/>
      <w:bCs/>
      <w:caps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6D7DF9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character" w:customStyle="1" w:styleId="Nadpis8Char">
    <w:name w:val="Nadpis 8 Char"/>
    <w:basedOn w:val="Standardnpsmoodstavce"/>
    <w:link w:val="Nadpis8"/>
    <w:rsid w:val="006D7DF9"/>
    <w:rPr>
      <w:rFonts w:ascii="Calibri" w:eastAsia="Times New Roman" w:hAnsi="Calibri" w:cs="Times New Roman"/>
      <w:i/>
      <w:iCs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282E1C"/>
    <w:pPr>
      <w:spacing w:after="120" w:line="240" w:lineRule="auto"/>
      <w:ind w:left="283"/>
    </w:pPr>
    <w:rPr>
      <w:rFonts w:ascii="Arial" w:eastAsia="Times New Roman" w:hAnsi="Arial" w:cs="Arial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282E1C"/>
    <w:rPr>
      <w:rFonts w:ascii="Arial" w:eastAsia="Times New Roman" w:hAnsi="Arial" w:cs="Arial"/>
      <w:sz w:val="16"/>
      <w:szCs w:val="16"/>
      <w:lang w:eastAsia="cs-CZ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16695D"/>
    <w:pPr>
      <w:widowControl w:val="0"/>
      <w:suppressAutoHyphens/>
      <w:ind w:left="720"/>
      <w:contextualSpacing/>
    </w:pPr>
    <w:rPr>
      <w:rFonts w:ascii="Calibri" w:eastAsia="Calibri" w:hAnsi="Calibri" w:cs="Calibri"/>
      <w:lang w:eastAsia="zh-CN" w:bidi="hi-IN"/>
    </w:rPr>
  </w:style>
  <w:style w:type="character" w:customStyle="1" w:styleId="OdstavecseseznamemChar">
    <w:name w:val="Odstavec se seznamem Char"/>
    <w:aliases w:val="Odstavec_muj Char"/>
    <w:link w:val="Odstavecseseznamem"/>
    <w:rsid w:val="0016695D"/>
    <w:rPr>
      <w:rFonts w:ascii="Calibri" w:eastAsia="Calibri" w:hAnsi="Calibri" w:cs="Calibri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2C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2C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6D7DF9"/>
    <w:pPr>
      <w:keepNext/>
      <w:numPr>
        <w:numId w:val="4"/>
      </w:numPr>
      <w:tabs>
        <w:tab w:val="clear" w:pos="360"/>
      </w:tabs>
      <w:spacing w:after="0" w:line="240" w:lineRule="auto"/>
      <w:ind w:left="0" w:firstLine="0"/>
      <w:jc w:val="center"/>
      <w:outlineLvl w:val="0"/>
    </w:pPr>
    <w:rPr>
      <w:rFonts w:ascii="Arial" w:eastAsia="Times New Roman" w:hAnsi="Arial" w:cs="Arial"/>
      <w:b/>
      <w:bCs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6D7DF9"/>
    <w:pPr>
      <w:keepNext/>
      <w:numPr>
        <w:ilvl w:val="1"/>
        <w:numId w:val="4"/>
      </w:numPr>
      <w:spacing w:after="0" w:line="240" w:lineRule="auto"/>
      <w:outlineLvl w:val="1"/>
    </w:pPr>
    <w:rPr>
      <w:rFonts w:ascii="Arial" w:eastAsia="Times New Roman" w:hAnsi="Arial" w:cs="Arial"/>
      <w:b/>
      <w:bCs/>
      <w:caps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unhideWhenUsed/>
    <w:qFormat/>
    <w:rsid w:val="006D7DF9"/>
    <w:pPr>
      <w:keepNext/>
      <w:numPr>
        <w:ilvl w:val="2"/>
        <w:numId w:val="4"/>
      </w:numPr>
      <w:spacing w:before="240" w:after="60" w:line="240" w:lineRule="auto"/>
      <w:ind w:left="0" w:firstLine="0"/>
      <w:outlineLvl w:val="2"/>
    </w:pPr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paragraph" w:styleId="Nadpis8">
    <w:name w:val="heading 8"/>
    <w:basedOn w:val="Normln"/>
    <w:next w:val="Normln"/>
    <w:link w:val="Nadpis8Char"/>
    <w:unhideWhenUsed/>
    <w:qFormat/>
    <w:rsid w:val="006D7DF9"/>
    <w:pPr>
      <w:numPr>
        <w:ilvl w:val="7"/>
        <w:numId w:val="4"/>
      </w:numPr>
      <w:spacing w:before="240" w:after="60" w:line="240" w:lineRule="auto"/>
      <w:ind w:left="0" w:firstLine="0"/>
      <w:outlineLvl w:val="7"/>
    </w:pPr>
    <w:rPr>
      <w:rFonts w:ascii="Calibri" w:eastAsia="Times New Roman" w:hAnsi="Calibri" w:cs="Times New Roman"/>
      <w:i/>
      <w:i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znamka">
    <w:name w:val="poznamka"/>
    <w:basedOn w:val="Normln"/>
    <w:rsid w:val="003F1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6D7DF9"/>
    <w:rPr>
      <w:rFonts w:ascii="Arial" w:eastAsia="Times New Roman" w:hAnsi="Arial" w:cs="Arial"/>
      <w:b/>
      <w:b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6D7DF9"/>
    <w:rPr>
      <w:rFonts w:ascii="Arial" w:eastAsia="Times New Roman" w:hAnsi="Arial" w:cs="Arial"/>
      <w:b/>
      <w:bCs/>
      <w:caps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6D7DF9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character" w:customStyle="1" w:styleId="Nadpis8Char">
    <w:name w:val="Nadpis 8 Char"/>
    <w:basedOn w:val="Standardnpsmoodstavce"/>
    <w:link w:val="Nadpis8"/>
    <w:rsid w:val="006D7DF9"/>
    <w:rPr>
      <w:rFonts w:ascii="Calibri" w:eastAsia="Times New Roman" w:hAnsi="Calibri" w:cs="Times New Roman"/>
      <w:i/>
      <w:iCs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282E1C"/>
    <w:pPr>
      <w:spacing w:after="120" w:line="240" w:lineRule="auto"/>
      <w:ind w:left="283"/>
    </w:pPr>
    <w:rPr>
      <w:rFonts w:ascii="Arial" w:eastAsia="Times New Roman" w:hAnsi="Arial" w:cs="Arial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282E1C"/>
    <w:rPr>
      <w:rFonts w:ascii="Arial" w:eastAsia="Times New Roman" w:hAnsi="Arial" w:cs="Arial"/>
      <w:sz w:val="16"/>
      <w:szCs w:val="16"/>
      <w:lang w:eastAsia="cs-CZ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16695D"/>
    <w:pPr>
      <w:widowControl w:val="0"/>
      <w:suppressAutoHyphens/>
      <w:ind w:left="720"/>
      <w:contextualSpacing/>
    </w:pPr>
    <w:rPr>
      <w:rFonts w:ascii="Calibri" w:eastAsia="Calibri" w:hAnsi="Calibri" w:cs="Calibri"/>
      <w:lang w:eastAsia="zh-CN" w:bidi="hi-IN"/>
    </w:rPr>
  </w:style>
  <w:style w:type="character" w:customStyle="1" w:styleId="OdstavecseseznamemChar">
    <w:name w:val="Odstavec se seznamem Char"/>
    <w:aliases w:val="Odstavec_muj Char"/>
    <w:link w:val="Odstavecseseznamem"/>
    <w:rsid w:val="0016695D"/>
    <w:rPr>
      <w:rFonts w:ascii="Calibri" w:eastAsia="Calibri" w:hAnsi="Calibri" w:cs="Calibri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2C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2C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1326</Words>
  <Characters>7828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Úřad vlády ČR</Company>
  <LinksUpToDate>false</LinksUpToDate>
  <CharactersWithSpaces>9136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Švec</dc:creator>
  <cp:lastModifiedBy>Švec Michal, Mgr. et Mgr.</cp:lastModifiedBy>
  <cp:revision>3</cp:revision>
  <dcterms:created xsi:type="dcterms:W3CDTF">2019-02-04T16:40:00Z</dcterms:created>
  <dcterms:modified xsi:type="dcterms:W3CDTF">2019-02-04T16:44:00Z</dcterms:modified>
</cp:coreProperties>
</file>