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B8CA0" w14:textId="47031492" w:rsidR="003C77F8" w:rsidRPr="00E574E6" w:rsidRDefault="00821586" w:rsidP="00F2560A">
      <w:pPr>
        <w:pStyle w:val="Nadpis2"/>
        <w:keepNext w:val="0"/>
        <w:widowControl w:val="0"/>
        <w:rPr>
          <w:sz w:val="32"/>
          <w:szCs w:val="32"/>
        </w:rPr>
      </w:pPr>
      <w:r>
        <w:rPr>
          <w:sz w:val="32"/>
          <w:szCs w:val="32"/>
        </w:rPr>
        <w:t>DŮVODOVÁ ZPRÁVA</w:t>
      </w:r>
    </w:p>
    <w:p w14:paraId="56AEC2C5" w14:textId="77777777" w:rsidR="003C77F8" w:rsidRPr="00E574E6" w:rsidRDefault="003C77F8" w:rsidP="00F2560A">
      <w:pPr>
        <w:pStyle w:val="Nadpis2"/>
        <w:keepNext w:val="0"/>
        <w:widowControl w:val="0"/>
      </w:pPr>
      <w:r w:rsidRPr="00E574E6">
        <w:t>I. Obecná část</w:t>
      </w:r>
    </w:p>
    <w:p w14:paraId="69C4D0EF" w14:textId="2B28BAFA" w:rsidR="00DB0A61" w:rsidRDefault="00DB0A61" w:rsidP="00DB0A61">
      <w:pPr>
        <w:pStyle w:val="Nadpis2"/>
        <w:keepNext w:val="0"/>
        <w:widowControl w:val="0"/>
        <w:numPr>
          <w:ilvl w:val="0"/>
          <w:numId w:val="1"/>
        </w:numPr>
        <w:shd w:val="clear" w:color="auto" w:fill="FFFFFF"/>
        <w:spacing w:before="0"/>
        <w:ind w:hanging="720"/>
        <w:jc w:val="both"/>
        <w:rPr>
          <w:sz w:val="24"/>
          <w:szCs w:val="24"/>
        </w:rPr>
      </w:pPr>
      <w:r w:rsidRPr="00534B8E">
        <w:rPr>
          <w:sz w:val="24"/>
          <w:szCs w:val="24"/>
        </w:rPr>
        <w:t>Zhodnocení platn</w:t>
      </w:r>
      <w:r>
        <w:rPr>
          <w:sz w:val="24"/>
          <w:szCs w:val="24"/>
        </w:rPr>
        <w:t>ého právního stavu</w:t>
      </w:r>
    </w:p>
    <w:p w14:paraId="3E904993" w14:textId="3A983DFB" w:rsidR="00DB0A61" w:rsidRDefault="00DB0A61" w:rsidP="00DB0A61">
      <w:pPr>
        <w:widowControl w:val="0"/>
        <w:tabs>
          <w:tab w:val="left" w:pos="6660"/>
        </w:tabs>
        <w:spacing w:after="120"/>
        <w:jc w:val="both"/>
      </w:pPr>
      <w:r w:rsidRPr="005A6EB2">
        <w:t xml:space="preserve">Předmětem návrhu vyhlášky </w:t>
      </w:r>
      <w:r w:rsidRPr="00551D7F">
        <w:t xml:space="preserve">o </w:t>
      </w:r>
      <w:r w:rsidRPr="00B94227">
        <w:t xml:space="preserve">formulářových podáních </w:t>
      </w:r>
      <w:r w:rsidR="00336FAA">
        <w:t>pro dorovnávací daně</w:t>
      </w:r>
      <w:r w:rsidRPr="005A6EB2">
        <w:t xml:space="preserve"> </w:t>
      </w:r>
      <w:r w:rsidRPr="005A6EB2">
        <w:rPr>
          <w:bCs/>
        </w:rPr>
        <w:t>(dále jen „návrh vyhlášky“)</w:t>
      </w:r>
      <w:r>
        <w:rPr>
          <w:bCs/>
        </w:rPr>
        <w:t xml:space="preserve"> </w:t>
      </w:r>
      <w:r w:rsidRPr="005A6EB2">
        <w:t xml:space="preserve">je komplexní úprava formulářových podání pro </w:t>
      </w:r>
      <w:r>
        <w:t>dorovnávací daně</w:t>
      </w:r>
      <w:r w:rsidR="00336FAA" w:rsidRPr="00336FAA">
        <w:t xml:space="preserve"> </w:t>
      </w:r>
      <w:r w:rsidR="00336FAA" w:rsidRPr="00B94227">
        <w:t xml:space="preserve">pro účely zajištění minimální úrovně zdanění </w:t>
      </w:r>
      <w:r w:rsidR="00336FAA" w:rsidRPr="001726D9">
        <w:t>velkých nadnárodních skupin a velkých vnitrostátních skupin</w:t>
      </w:r>
      <w:r w:rsidRPr="005A6EB2">
        <w:t xml:space="preserve">, a to včetně příloh </w:t>
      </w:r>
      <w:r>
        <w:t xml:space="preserve">podle </w:t>
      </w:r>
      <w:r w:rsidRPr="005A6EB2">
        <w:t xml:space="preserve">§ 72 zákona č. 280/2009 Sb., daňový řád, ve znění pozdějších předpisů (dále jen „daňový řád“) ve znění zákona, kterým se mění některé zákony v oblasti správy daní a působnosti Celní správy České republiky, zákon č. 16/1993 Sb., o dani silniční, ve znění pozdějších předpisů, a zákon č. 69/2010 Sb., o vlastnictví letiště Praha-Ruzyně (dále jen „celnický balíček“). </w:t>
      </w:r>
      <w:r>
        <w:t xml:space="preserve">Doposud totiž neexistuje žádná právní úprava, která by stanovila obsahovou strukturu formulářových podání týkajících se české dorovnávací daně a přiřazované dorovnávací daně ve smyslu zákona č. 416/2023 Sb., o dorovnávacích daních pro velké nadnárodní skupiny a velké vnitrostátní skupiny. Uvedený zákon byl vyhlášen dne 29. prosince 2023 ve Sbírce zákonů a nabyl účinnosti dnem 31. prosince 2023. Jedná se o zcela nový právní předpis, kterým byla do právního řádu České republiky implementována Směrnice Rady (EU) 2022/2523 ze dne 14. prosince 2022, o zajištění globální minimální úrovně zdanění nadnárodních skupin podniků a velkých vnitrostátních skupin v Unii a závazky plynoucí pro Českou republiku z Inkluzivního rámce OECD pro </w:t>
      </w:r>
      <w:r w:rsidRPr="004E0046">
        <w:t>řešení problému eroze základu daně a</w:t>
      </w:r>
      <w:r w:rsidR="0081580B">
        <w:t> </w:t>
      </w:r>
      <w:r w:rsidRPr="004E0046">
        <w:t>přesouvání zisku</w:t>
      </w:r>
      <w:r>
        <w:t xml:space="preserve"> (dále jen „inkluzivní rámec“).</w:t>
      </w:r>
    </w:p>
    <w:p w14:paraId="5F0577A3" w14:textId="1FAB2261" w:rsidR="00487BFD" w:rsidRDefault="00DB0A61" w:rsidP="00487BFD">
      <w:pPr>
        <w:widowControl w:val="0"/>
        <w:tabs>
          <w:tab w:val="left" w:pos="6660"/>
        </w:tabs>
        <w:spacing w:after="120"/>
        <w:jc w:val="both"/>
      </w:pPr>
      <w:r>
        <w:t>Přestože zákon o dorovnávacích daních stanovuje základní rámec daňové povinnosti, včetně povinnosti podávat daňové přiznání a informační přehled (podle § 128 a § 129 předmětného zákona), bez odpovídající vyhlášky nelze tyto povinnosti v praxi realizovat. Formulářová podání podle zmíněného zákona mají výlučně elektronickou podobu a jsou předmětem standardizace dle § 72 daňového řádu. Aby bylo možné podat předepsaná podání v zákonné lhůtě (počínaje dnem 30. června 2026 pro první vlnu daňových subjektů), je nezbytné stanovit jejich obsahovou strukturu formou podzákonného právního předpisu, a to v souladu s novelizovaným § 72 odst. 4 a 5 daňového řádu ve znění tzv. celnickéh</w:t>
      </w:r>
      <w:r w:rsidR="00487BFD">
        <w:t xml:space="preserve">o balíčku, čímž se jednak umožní plnění zákonné povinnosti podání daňového přiznání a informačního přehledu </w:t>
      </w:r>
      <w:r w:rsidR="0061208C">
        <w:t>a </w:t>
      </w:r>
      <w:r w:rsidR="00487BFD">
        <w:t>jednak se zajišťuje harmonizace s evropskou úpravou (zejména článkem 44 směrnice Rady (EU) 2022/2523). Současně tato vyhláška umožní správci daně technicky zveřejnit odpovídající datové struktury, jak to vyžaduje § 56 odst. 1 písm. b) bod 4 daňového řádu.</w:t>
      </w:r>
    </w:p>
    <w:p w14:paraId="1F438946" w14:textId="207965B4" w:rsidR="00DB0A61" w:rsidRDefault="00DB0A61" w:rsidP="00DB0A61">
      <w:pPr>
        <w:widowControl w:val="0"/>
        <w:tabs>
          <w:tab w:val="left" w:pos="6660"/>
        </w:tabs>
        <w:spacing w:after="120"/>
        <w:jc w:val="both"/>
      </w:pPr>
      <w:r>
        <w:t>Zákon č. 416/2023 Sb. byl Poslanecké sněmovně Parlamentu České republiky předložen vládou dne 18. srpna 2023 jako sněmovní tisk č. 515. V průběhu legislativního procesu prošel třemi čteními v Poslanecké sněmovně a byl schválen pouze s</w:t>
      </w:r>
      <w:r w:rsidR="008F1D67">
        <w:t xml:space="preserve"> několika </w:t>
      </w:r>
      <w:r>
        <w:t xml:space="preserve">legislativně technickými úpravami. Zákon byl následně projednán a schválen Senátem Parlamentu ČR, podepsán prezidentem republiky a vyhlášen ve Sbírce zákonů dne 29. prosince 2023 s účinností od 31. prosince 2023. V legislativním procesu je jako sněmovní tisk č. </w:t>
      </w:r>
      <w:r w:rsidRPr="004E0046">
        <w:t>783</w:t>
      </w:r>
      <w:r>
        <w:t xml:space="preserve"> projednáván Poslaneckou sněmovnou n</w:t>
      </w:r>
      <w:r w:rsidRPr="004E0046">
        <w:t>ávrh zákona, kterým se mění zákon č. 563/1991 Sb., o účetnictví, zákon č. 93/2009 Sb., o</w:t>
      </w:r>
      <w:r>
        <w:t> </w:t>
      </w:r>
      <w:r w:rsidRPr="004E0046">
        <w:t>auditorech, a zákon č. 426/2023 Sb., o dorovnávacích daních pro velké nadnárodní skupiny a velké vnitrostátní skupiny</w:t>
      </w:r>
      <w:r>
        <w:t xml:space="preserve">, jehož hlavní změny </w:t>
      </w:r>
      <w:r w:rsidR="008F1D67">
        <w:t>jsou popsány v odvodnění hlavních principů právní úpravy a jemuž je návrh vyhlášky přizpůsoben</w:t>
      </w:r>
      <w:r>
        <w:t>.</w:t>
      </w:r>
    </w:p>
    <w:p w14:paraId="363586EF" w14:textId="77777777" w:rsidR="0082315C" w:rsidRDefault="00DB0A61" w:rsidP="002746E2">
      <w:pPr>
        <w:widowControl w:val="0"/>
        <w:tabs>
          <w:tab w:val="left" w:pos="6660"/>
        </w:tabs>
        <w:spacing w:after="120"/>
        <w:jc w:val="both"/>
      </w:pPr>
      <w:r>
        <w:t xml:space="preserve">S ohledem na skutečnost, že dosavadní právní úprava oblast formulářových podání k dorovnávacím daním nepokrývá, a že první daňová přiznání k těmto daním bude třeba podat ve lhůtě končící 30. června 2026, je přijetí navrhované vyhlášky nejen legislativně přípustné, ale i bezpodmínečně nutné z hlediska funkčního a technického zajištění plnění zákonné </w:t>
      </w:r>
      <w:r>
        <w:lastRenderedPageBreak/>
        <w:t>povinnosti daňových subjektů i správce daně. Vyhláška rovněž přispívá k ochraně právní jistoty a k naplnění požadavků judikatury Ústavního soudu (Pl. ÚS 19/17), podle níž musí být závazný obsah formulářových podání stanoven právním předpisem, nikoliv pouze interním aktem správce daně.</w:t>
      </w:r>
    </w:p>
    <w:p w14:paraId="12A9B292" w14:textId="488C35C0" w:rsidR="0082315C" w:rsidRPr="0082315C" w:rsidRDefault="0082315C" w:rsidP="002746E2">
      <w:pPr>
        <w:widowControl w:val="0"/>
        <w:tabs>
          <w:tab w:val="left" w:pos="6660"/>
        </w:tabs>
        <w:spacing w:after="120"/>
        <w:jc w:val="both"/>
      </w:pPr>
      <w:r w:rsidRPr="0082315C">
        <w:t>Návrh vyhlášky také reaguje na zákonné zmocnění uvedené v § 15zy zákona č. 164/2013 Sb., o mezinárodní spolupráci při správě daní, který</w:t>
      </w:r>
      <w:r>
        <w:t xml:space="preserve"> je nyní projednáván v Poslanecké sněmovně jako sněmovní tisk č. 974 a který</w:t>
      </w:r>
      <w:r w:rsidRPr="0082315C">
        <w:t>m má být do právního řádu České republiky implementována Směrnice Rady (EU) 2023/2226 ze dne 17. října 2023, kterou se mění směrnice 2011/16/EU, pokud jde o rozšíření automatické výměny informací na poskytovatele služeb v oblasti kryptoaktiv a předávání infor</w:t>
      </w:r>
      <w:r>
        <w:t>mací daňovým orgánům (dále jen „</w:t>
      </w:r>
      <w:r w:rsidR="00FE071D">
        <w:t>DAC9</w:t>
      </w:r>
      <w:r>
        <w:t>“</w:t>
      </w:r>
      <w:r w:rsidRPr="0082315C">
        <w:t>). Tato směrnice představuje de</w:t>
      </w:r>
      <w:r w:rsidR="00401FCB">
        <w:t>sátou</w:t>
      </w:r>
      <w:r w:rsidRPr="0082315C">
        <w:t xml:space="preserve"> novelizaci rámce správní spolupráce v oblasti daní v Evropské unii a</w:t>
      </w:r>
      <w:r w:rsidR="002F26FA">
        <w:t> </w:t>
      </w:r>
      <w:r w:rsidRPr="0082315C">
        <w:t xml:space="preserve">reaguje na </w:t>
      </w:r>
      <w:r w:rsidR="00401FCB">
        <w:t>právě na vývoj v oblasti dorovnávacích daní</w:t>
      </w:r>
      <w:r w:rsidRPr="0082315C">
        <w:t>.</w:t>
      </w:r>
    </w:p>
    <w:p w14:paraId="5501AEA0" w14:textId="3656CDC4" w:rsidR="0082315C" w:rsidRPr="0082315C" w:rsidRDefault="00FE071D" w:rsidP="002746E2">
      <w:pPr>
        <w:spacing w:before="100" w:beforeAutospacing="1" w:after="100" w:afterAutospacing="1"/>
        <w:jc w:val="both"/>
      </w:pPr>
      <w:r>
        <w:t>DAC9</w:t>
      </w:r>
      <w:r w:rsidR="0082315C" w:rsidRPr="0082315C">
        <w:t xml:space="preserve"> </w:t>
      </w:r>
      <w:r w:rsidR="0082315C" w:rsidRPr="0082315C">
        <w:rPr>
          <w:b/>
          <w:bCs/>
        </w:rPr>
        <w:t>zavádí právní rámec pro automatickou výměnu informací o dorovnávacích daních</w:t>
      </w:r>
      <w:r w:rsidR="0082315C" w:rsidRPr="0082315C">
        <w:t xml:space="preserve">, tedy daních vybíraných podle pravidel pro globální minimální zdanění (tzv. GloBE), jak je stanoví </w:t>
      </w:r>
      <w:r w:rsidR="00BD06F9" w:rsidRPr="00BD06F9">
        <w:t xml:space="preserve">Organizace pro hospodářskou spolupráci a rozvoj </w:t>
      </w:r>
      <w:r w:rsidR="00BD06F9">
        <w:t xml:space="preserve">(dále jen „OECD“) </w:t>
      </w:r>
      <w:r w:rsidR="0082315C" w:rsidRPr="0082315C">
        <w:t xml:space="preserve">v rámci druhého pilíře iniciativy BEPS. Členské státy EU si tak budou povinně vyměňovat </w:t>
      </w:r>
      <w:r w:rsidR="0082315C" w:rsidRPr="002746E2">
        <w:rPr>
          <w:bCs/>
        </w:rPr>
        <w:t>informační přehledy</w:t>
      </w:r>
      <w:r w:rsidR="0082315C" w:rsidRPr="0082315C">
        <w:t xml:space="preserve">, obsahující klíčové údaje o výpočtu efektivního zdanění nadnárodních skupin podniků. Tato výměna navazuje na obdobný mechanismus, jaký je zaveden např. u reportingu podle pravidel </w:t>
      </w:r>
      <w:r w:rsidR="00164680">
        <w:t>DAC</w:t>
      </w:r>
      <w:r w:rsidR="0082315C" w:rsidRPr="0082315C">
        <w:t>4 (Country-by-Country Reporting).</w:t>
      </w:r>
      <w:r w:rsidR="00BD06F9">
        <w:t xml:space="preserve"> Návrh vyhlášky</w:t>
      </w:r>
      <w:r w:rsidR="0082315C" w:rsidRPr="0082315C">
        <w:t xml:space="preserve"> má technicky upravit</w:t>
      </w:r>
      <w:r w:rsidR="00401FCB">
        <w:t xml:space="preserve"> v návaznosti na </w:t>
      </w:r>
      <w:r>
        <w:t>DAC9</w:t>
      </w:r>
      <w:r w:rsidR="0082315C" w:rsidRPr="0082315C">
        <w:t xml:space="preserve"> způsob předávání informací v</w:t>
      </w:r>
      <w:r w:rsidR="00BD06F9">
        <w:t> </w:t>
      </w:r>
      <w:r w:rsidR="0082315C" w:rsidRPr="0082315C">
        <w:t>souladu s evropskými a mezinárodními standardy. Cílem je zajistit jak právní, tak praktickou provázanost českého režimu mezinárodní daňové spolupráce s novými pravidly platnými na</w:t>
      </w:r>
      <w:r w:rsidR="00BD06F9">
        <w:t> </w:t>
      </w:r>
      <w:r w:rsidR="0082315C" w:rsidRPr="0082315C">
        <w:t>úrovni EU a OECD.</w:t>
      </w:r>
    </w:p>
    <w:p w14:paraId="0972E7F2" w14:textId="7EB3883B" w:rsidR="003C77F8" w:rsidRPr="009C4E06" w:rsidRDefault="003C77F8" w:rsidP="00F2560A">
      <w:pPr>
        <w:pStyle w:val="Nadpis2"/>
        <w:keepNext w:val="0"/>
        <w:widowControl w:val="0"/>
        <w:numPr>
          <w:ilvl w:val="0"/>
          <w:numId w:val="1"/>
        </w:numPr>
        <w:shd w:val="clear" w:color="auto" w:fill="FFFFFF"/>
        <w:spacing w:before="480"/>
        <w:ind w:hanging="720"/>
        <w:jc w:val="both"/>
        <w:rPr>
          <w:sz w:val="24"/>
          <w:szCs w:val="24"/>
        </w:rPr>
      </w:pPr>
      <w:r w:rsidRPr="009C4E06">
        <w:rPr>
          <w:sz w:val="24"/>
          <w:szCs w:val="24"/>
        </w:rPr>
        <w:t>Vysvětlení nezbytnosti navrhované právní úpravy, odůvodnění jejích hlavních principů</w:t>
      </w:r>
    </w:p>
    <w:p w14:paraId="0A6F4E28" w14:textId="3571B411" w:rsidR="00135ECD" w:rsidRPr="00551D7F" w:rsidRDefault="00275BF2" w:rsidP="00135ECD">
      <w:pPr>
        <w:widowControl w:val="0"/>
        <w:spacing w:after="120"/>
        <w:jc w:val="both"/>
      </w:pPr>
      <w:r w:rsidRPr="002746E2">
        <w:t xml:space="preserve">Dne </w:t>
      </w:r>
      <w:r w:rsidRPr="00551D7F">
        <w:t xml:space="preserve">29. </w:t>
      </w:r>
      <w:r w:rsidRPr="00B94227">
        <w:t xml:space="preserve">prosince 2023 byl ve Sbírce zákonů </w:t>
      </w:r>
      <w:r w:rsidRPr="00551D7F">
        <w:t xml:space="preserve">vyhlášen </w:t>
      </w:r>
      <w:r w:rsidR="00135ECD" w:rsidRPr="00551D7F">
        <w:t xml:space="preserve">zákon </w:t>
      </w:r>
      <w:r w:rsidR="00135ECD" w:rsidRPr="00B94227">
        <w:t>č. 416/2023 Sb., o dorovnávacích daních pro velké nadnárodní skupiny a velké vnitrostátní skupiny, podle něhož mají poplatníci daně povinnost podat daňové přiznání k české dorovnávací dani nejpozději do 10 měsíců po uplynutí zdaňovacího období (tedy do 10 měsíců po skončení účetního období, ve vztahu k</w:t>
      </w:r>
      <w:r w:rsidR="003A5A52">
        <w:t> </w:t>
      </w:r>
      <w:r w:rsidR="00135ECD" w:rsidRPr="00B94227">
        <w:t xml:space="preserve">němuž nejvyšší mateřská entita nadnárodní skupiny nebo vnitrostátní skupiny sestavuje svoji konsolidovanou účetní závěrku.). </w:t>
      </w:r>
      <w:r w:rsidR="002550D4">
        <w:t xml:space="preserve">Ve stejné lhůtě </w:t>
      </w:r>
      <w:r w:rsidR="00135ECD" w:rsidRPr="00B94227">
        <w:t>je zapotřebí podat také informační přehled k české dorovnávací dani.</w:t>
      </w:r>
    </w:p>
    <w:p w14:paraId="77D3BA22" w14:textId="583520C0" w:rsidR="00EB39BF" w:rsidRPr="002746E2" w:rsidRDefault="00135ECD" w:rsidP="00F2560A">
      <w:pPr>
        <w:widowControl w:val="0"/>
        <w:spacing w:after="120"/>
        <w:jc w:val="both"/>
      </w:pPr>
      <w:r w:rsidRPr="00551D7F">
        <w:t>Vzhledem k </w:t>
      </w:r>
      <w:r w:rsidRPr="00B94227">
        <w:t xml:space="preserve">tomu, že </w:t>
      </w:r>
      <w:r w:rsidR="005D0C94" w:rsidRPr="00B94227">
        <w:t xml:space="preserve">pro účetní období započaté přede dnem nabytí účinnosti předmětného zákona se zákon nepoužije, vztahuje se dorovnávací daň pouze </w:t>
      </w:r>
      <w:r w:rsidR="002C26D7">
        <w:t>na</w:t>
      </w:r>
      <w:r w:rsidR="005D0C94" w:rsidRPr="00B94227">
        <w:t xml:space="preserve"> období započaté dne 31. prosince 2023 a později, jejichž obvyklý konec vychází </w:t>
      </w:r>
      <w:r w:rsidR="00B94227" w:rsidRPr="00B94227">
        <w:t xml:space="preserve">nejdříve na </w:t>
      </w:r>
      <w:r w:rsidR="005D0C94" w:rsidRPr="00B94227">
        <w:t>31. prosinc</w:t>
      </w:r>
      <w:r w:rsidR="00B94227" w:rsidRPr="00B94227">
        <w:t>e</w:t>
      </w:r>
      <w:r w:rsidR="005D0C94" w:rsidRPr="00B94227">
        <w:t xml:space="preserve"> 2024</w:t>
      </w:r>
      <w:r w:rsidR="00B94227" w:rsidRPr="00B94227">
        <w:t>, což ovšem nevylučuje den dřívější, zejména pokud by bylo účetní období nejvyšší mateřské entity z důvodu fúze, vzniku, zániku nebo z jiného důvodu kratší</w:t>
      </w:r>
      <w:r w:rsidR="005D0C94" w:rsidRPr="00B94227">
        <w:t>.</w:t>
      </w:r>
      <w:r w:rsidR="00B94227" w:rsidRPr="00B94227">
        <w:t xml:space="preserve"> Aby bylo možné informační přehledy a daňová přiznání řádně podat, je zapotřebí stanovit jejich obsahové náležitosti. </w:t>
      </w:r>
      <w:r w:rsidR="005D0C94" w:rsidRPr="00B94227">
        <w:t>Daňové přiznání k české i přiřazované dorovnávací dani, ale také informační přehled k české a</w:t>
      </w:r>
      <w:r w:rsidR="003A5A52">
        <w:t> </w:t>
      </w:r>
      <w:r w:rsidR="005D0C94" w:rsidRPr="00B94227">
        <w:t>přiřazované dorovnávací dani podle § 129 odst. 2 předmětného zákona,</w:t>
      </w:r>
      <w:r w:rsidR="00B94227" w:rsidRPr="00B94227">
        <w:t xml:space="preserve"> jsou formulářovými podáními,</w:t>
      </w:r>
      <w:r w:rsidR="005D0C94" w:rsidRPr="00B94227">
        <w:t xml:space="preserve"> proto</w:t>
      </w:r>
      <w:r w:rsidR="005D0C94" w:rsidRPr="002746E2">
        <w:t xml:space="preserve"> n</w:t>
      </w:r>
      <w:r w:rsidR="00534B8E" w:rsidRPr="002746E2">
        <w:t>a základě z</w:t>
      </w:r>
      <w:r w:rsidR="0004531E" w:rsidRPr="002746E2">
        <w:t xml:space="preserve">mocnění </w:t>
      </w:r>
      <w:r w:rsidR="00534B8E" w:rsidRPr="002746E2">
        <w:t xml:space="preserve">v </w:t>
      </w:r>
      <w:r w:rsidR="0020012A" w:rsidRPr="002746E2">
        <w:t xml:space="preserve">§ 72 </w:t>
      </w:r>
      <w:r w:rsidR="00430800" w:rsidRPr="002746E2">
        <w:t>odst. 4 a 5</w:t>
      </w:r>
      <w:r w:rsidR="00DB0A61">
        <w:t xml:space="preserve"> daňového řádu</w:t>
      </w:r>
      <w:r w:rsidR="00534B8E" w:rsidRPr="002746E2">
        <w:t xml:space="preserve">, je předkládán návrh </w:t>
      </w:r>
      <w:r w:rsidR="00B94227" w:rsidRPr="002746E2">
        <w:t>vyhlášky</w:t>
      </w:r>
      <w:r w:rsidR="00534B8E" w:rsidRPr="002746E2">
        <w:rPr>
          <w:bCs/>
        </w:rPr>
        <w:t>.</w:t>
      </w:r>
    </w:p>
    <w:p w14:paraId="40F675E1" w14:textId="739AF4CB" w:rsidR="00E433BC" w:rsidRPr="002746E2" w:rsidRDefault="00B72147" w:rsidP="00F2560A">
      <w:pPr>
        <w:widowControl w:val="0"/>
        <w:spacing w:after="120"/>
        <w:jc w:val="both"/>
      </w:pPr>
      <w:r w:rsidRPr="002746E2">
        <w:t>N</w:t>
      </w:r>
      <w:r w:rsidR="00534B8E" w:rsidRPr="002746E2">
        <w:t>avrhovan</w:t>
      </w:r>
      <w:r w:rsidRPr="002746E2">
        <w:t>á</w:t>
      </w:r>
      <w:r w:rsidR="00534B8E" w:rsidRPr="002746E2">
        <w:t xml:space="preserve"> právní úprav</w:t>
      </w:r>
      <w:r w:rsidRPr="002746E2">
        <w:t>a</w:t>
      </w:r>
      <w:r w:rsidR="00534B8E" w:rsidRPr="002746E2">
        <w:t xml:space="preserve"> </w:t>
      </w:r>
      <w:r w:rsidR="00BD06F9">
        <w:t>nadto</w:t>
      </w:r>
      <w:r w:rsidR="00B94227" w:rsidRPr="002746E2">
        <w:t xml:space="preserve"> </w:t>
      </w:r>
      <w:r w:rsidR="00430800" w:rsidRPr="002746E2">
        <w:t xml:space="preserve">reaguje na </w:t>
      </w:r>
      <w:r w:rsidRPr="002746E2">
        <w:t>novelu</w:t>
      </w:r>
      <w:r w:rsidR="00430800" w:rsidRPr="002746E2">
        <w:t xml:space="preserve"> daňového řádu obsaženou v návrhu</w:t>
      </w:r>
      <w:r w:rsidR="00DB0A61">
        <w:t xml:space="preserve"> </w:t>
      </w:r>
      <w:r w:rsidR="00CC1B69">
        <w:t xml:space="preserve">tzv. </w:t>
      </w:r>
      <w:r w:rsidR="00DB0A61">
        <w:t>celnického balíčku</w:t>
      </w:r>
      <w:r w:rsidR="00430800" w:rsidRPr="002746E2">
        <w:t xml:space="preserve"> </w:t>
      </w:r>
      <w:r w:rsidR="00D26FBC" w:rsidRPr="002746E2">
        <w:t xml:space="preserve">s účinností </w:t>
      </w:r>
      <w:r w:rsidRPr="002746E2">
        <w:t xml:space="preserve">této části </w:t>
      </w:r>
      <w:r w:rsidR="00D26FBC" w:rsidRPr="002746E2">
        <w:t>od 1. ledna 2026. Celnick</w:t>
      </w:r>
      <w:r w:rsidRPr="002746E2">
        <w:t>ý</w:t>
      </w:r>
      <w:r w:rsidR="00D26FBC" w:rsidRPr="002746E2">
        <w:t xml:space="preserve"> balíček </w:t>
      </w:r>
      <w:r w:rsidR="00FB2011" w:rsidRPr="002746E2">
        <w:t xml:space="preserve">byl jako sněmovní tisk č. 784 schválen Poslaneckou sněmovnou a </w:t>
      </w:r>
      <w:r w:rsidR="00430800" w:rsidRPr="002746E2">
        <w:t>v současné době</w:t>
      </w:r>
      <w:r w:rsidR="00FB2011" w:rsidRPr="002746E2">
        <w:t xml:space="preserve"> prochází legislativním procesem v Senátu jako </w:t>
      </w:r>
      <w:r w:rsidR="00430800" w:rsidRPr="002746E2">
        <w:t>senátní tisk č.</w:t>
      </w:r>
      <w:r w:rsidR="00FB2011" w:rsidRPr="002746E2">
        <w:t> 98</w:t>
      </w:r>
      <w:r w:rsidR="00430800" w:rsidRPr="002746E2">
        <w:t>.</w:t>
      </w:r>
    </w:p>
    <w:p w14:paraId="74C9C54E" w14:textId="131F715D" w:rsidR="008A444F" w:rsidRPr="00C64E32" w:rsidRDefault="008A444F" w:rsidP="00F2560A">
      <w:pPr>
        <w:widowControl w:val="0"/>
        <w:spacing w:after="120"/>
        <w:jc w:val="both"/>
        <w:rPr>
          <w:highlight w:val="yellow"/>
        </w:rPr>
      </w:pPr>
      <w:r w:rsidRPr="002746E2">
        <w:lastRenderedPageBreak/>
        <w:t xml:space="preserve">Návrh vyhlášky taktéž </w:t>
      </w:r>
      <w:r w:rsidR="00804574" w:rsidRPr="002746E2">
        <w:t xml:space="preserve">reaguje na vládní návrh zákona, </w:t>
      </w:r>
      <w:r w:rsidR="00804574" w:rsidRPr="001726D9">
        <w:t xml:space="preserve">kterým se mění zákon č. 563/1991 Sb., o účetnictví, ve znění pozdějších předpisů, zákon č. 93/2009 Sb., o auditorech a o změně některých zákonů (zákon o auditorech), ve znění pozdějších předpisů, a zákon č. 416/2023 Sb., o dorovnávacích daních pro velké nadnárodní skupiny a velké vnitrostátní skupiny, který je nyní ve třetím čtení projednáván Poslaneckou sněmovnou </w:t>
      </w:r>
      <w:r w:rsidR="00811C99">
        <w:t>P</w:t>
      </w:r>
      <w:r w:rsidR="00804574" w:rsidRPr="001726D9">
        <w:t>arlamentu</w:t>
      </w:r>
      <w:r w:rsidR="00804574">
        <w:t xml:space="preserve"> České republiky jako sněmovní tisk 783. Podle tohoto návrhu zákona </w:t>
      </w:r>
      <w:r w:rsidR="00804574" w:rsidRPr="00804574">
        <w:t>se nově výslovně zakotvuje pravidlo, že lhůta pro podání informačního přehledu a daňového přiznání k oběma dorovnávacím daním skončí nejdříve dne 30. června 2026. Pokud by jakékoliv entitě vznikla povinnost podat informační přehled před tímto dnem, automaticky se oddaluje až na 30. června 2026. Pravidlo je nově napřímo upraveno zejména z důvodu řetězení kratších účetních období u některých entit, v</w:t>
      </w:r>
      <w:r w:rsidR="00804574">
        <w:t> </w:t>
      </w:r>
      <w:r w:rsidR="00804574" w:rsidRPr="00804574">
        <w:t>jejichž důsledku může nastat povinnost podat informační přehled dříve než v uvedený den.</w:t>
      </w:r>
    </w:p>
    <w:p w14:paraId="722F5DD0" w14:textId="393E26F4" w:rsidR="00BC6E30" w:rsidRPr="002746E2" w:rsidRDefault="009E0A6A" w:rsidP="00F2560A">
      <w:pPr>
        <w:widowControl w:val="0"/>
        <w:spacing w:after="120"/>
        <w:jc w:val="both"/>
      </w:pPr>
      <w:r w:rsidRPr="002746E2">
        <w:t xml:space="preserve">Účinnost návrhu vyhlášky se předpokládá dnem </w:t>
      </w:r>
      <w:r w:rsidR="00765D7C" w:rsidRPr="002746E2">
        <w:t>1. ledna 2026</w:t>
      </w:r>
      <w:r w:rsidR="005B6249" w:rsidRPr="002746E2">
        <w:t>, což odpovídá i předpokládanému nabytí účinnosti nové podoby § 72 daňového řádu ve znění celnického balíčku</w:t>
      </w:r>
      <w:r w:rsidRPr="002746E2">
        <w:t>.</w:t>
      </w:r>
      <w:r w:rsidR="00804574" w:rsidRPr="002746E2">
        <w:t xml:space="preserve"> </w:t>
      </w:r>
      <w:r w:rsidR="00BC6E30" w:rsidRPr="002746E2">
        <w:t>Shodný postup je uplatněn také v případě dalších vyhlášek upravujících formulářová podání při správě daní. Návrhy jejich nového znění jsou postupně předkládány do legislativního procesu.</w:t>
      </w:r>
    </w:p>
    <w:p w14:paraId="0D4C356A" w14:textId="20693616" w:rsidR="00680651" w:rsidRPr="002746E2" w:rsidRDefault="00680651" w:rsidP="00F2560A">
      <w:pPr>
        <w:widowControl w:val="0"/>
        <w:spacing w:after="120"/>
        <w:jc w:val="both"/>
      </w:pPr>
      <w:r w:rsidRPr="002746E2">
        <w:t>Ustanovení § 72 daňového řádu upravuje tzv. formulářová podání při správě daní, jakož i způsob jejich podávání a některé podmínky tvorby jejich obsahu. Formulářovým podáním se pro účely správy daní rozumí daňové tvrzení, přihláška k registraci a oznámení o změně registračních údajů včetně příloh, které jsou jejich součástí. Dále jsou mezi formulářová podání řazena další podání upravená v jednotlivých daňových zákonech, pokud jsou za formulářová podání výslovně prohlášena takovou speciální zákonnou úpravou</w:t>
      </w:r>
      <w:r w:rsidR="00CC1B69">
        <w:t>, tedy i informační přehled podle zákona o dorovnávacích daních</w:t>
      </w:r>
      <w:r w:rsidRPr="002746E2">
        <w:t>.</w:t>
      </w:r>
    </w:p>
    <w:p w14:paraId="3FA9EDC3" w14:textId="42D8BC0A" w:rsidR="00680651" w:rsidRPr="002746E2" w:rsidRDefault="00680651" w:rsidP="00F2560A">
      <w:pPr>
        <w:widowControl w:val="0"/>
        <w:spacing w:after="120"/>
        <w:jc w:val="both"/>
      </w:pPr>
      <w:r w:rsidRPr="002746E2">
        <w:t xml:space="preserve">Dosavadní podoba § 72 </w:t>
      </w:r>
      <w:r w:rsidR="00814BA2" w:rsidRPr="002746E2">
        <w:t xml:space="preserve">daňového řádu </w:t>
      </w:r>
      <w:r w:rsidRPr="002746E2">
        <w:t>je výsledkem jeho revize provedené zákonem č. 283/2020 Sb., která nabyla účinnosti dnem 1. ledna 2021. T</w:t>
      </w:r>
      <w:r w:rsidR="000754CA" w:rsidRPr="002746E2">
        <w:t>ato zákonná úprava reagovala na </w:t>
      </w:r>
      <w:r w:rsidRPr="002746E2">
        <w:t>nález Ústavního soudu Pl. ÚS 19/17 ze dne 12. listopadu 2019, kterým Ústavní soud zrušil tehdejší § 72 odst. 1 daňového řádu k 31. prosinci 2020. Toto zrušené ustanovení upravovalo povinnost daňového subjektu podávat tzv. formulářová podání při správě daní na tiskopisu vydaném Ministerstvem financí nebo na analogickém tiskovém výstupu z počítačové tiskárny. Vydáním tiskopisu formulářového podání docházelo jak k určení údajů, které jsou v něm požadovány, tak k určení uspořádání tohoto tiskopisu včetně jeho grafické podoby atd. Podle názoru Ústavního soudu vyjádřeného v předmětném nálezu však musí být okruh údajů vyžadovaných od daňového subjektu v rámci formulářových podání při správě daní specifikován zákonem</w:t>
      </w:r>
      <w:r w:rsidR="0021260B">
        <w:t>,</w:t>
      </w:r>
      <w:r w:rsidRPr="002746E2">
        <w:t xml:space="preserve"> s tím, že </w:t>
      </w:r>
      <w:r w:rsidR="00B104CE" w:rsidRPr="002746E2">
        <w:t xml:space="preserve">jednotlivé </w:t>
      </w:r>
      <w:r w:rsidRPr="002746E2">
        <w:t xml:space="preserve">údaje mohou být konkretizovány formou podzákonného právního předpisu. Důvodem je zejména zajištění určitosti těchto údajů s ohledem na principy zpracování osobních údajů, dostatečnou míru konkrétnosti povinností, se kterými je spojena sankce, a na požadavek možnosti přezkumu ústavní konformity okruhu údajů, které jsou požadovány. Ústavní soud proto uvedl, že ustanovení § 72 odst. 1 daňového řádu ve své historické podobě </w:t>
      </w:r>
      <w:r w:rsidR="00814BA2" w:rsidRPr="002746E2">
        <w:t xml:space="preserve">před 1. lednem 2021 </w:t>
      </w:r>
      <w:r w:rsidRPr="002746E2">
        <w:t>nesplňovalo podmínky stanovené ústavním pořádkem pro uložení povinnosti daňovému subjektu sdělovat údaje nezbytné pro správu daní. V návaznosti na to bylo proto nezbytné cestou novelizace uvést § 72 daňového řádu do souladu se závěry předmětného nálezu Ústavního soudu, který na přijetí této úpravy stanovil výše uvedenou lhůtu do konce roku 2020, kdy nastala derogace předchozí právní úpravy. Formulářová podání jsou klíčovým nástrojem pro komunikaci mezi daňovým subjektem a správcem daně a jejich eliminace by vedla k vážným komplikacím na obou stranách. K celkové reformulaci § 72 daňového řádu proto došlo od 1. ledna 2021 zmíněným zákonem č. 283/2020 Sb.</w:t>
      </w:r>
    </w:p>
    <w:p w14:paraId="75132BE7" w14:textId="507AC78C" w:rsidR="00680651" w:rsidRPr="002746E2" w:rsidRDefault="00680651" w:rsidP="00F2560A">
      <w:pPr>
        <w:widowControl w:val="0"/>
        <w:spacing w:after="120"/>
        <w:jc w:val="both"/>
      </w:pPr>
      <w:r w:rsidRPr="002746E2">
        <w:t xml:space="preserve">Problematika formulářových podání při správě daní </w:t>
      </w:r>
      <w:r w:rsidR="00897A3D" w:rsidRPr="002746E2">
        <w:t xml:space="preserve">nicméně </w:t>
      </w:r>
      <w:r w:rsidRPr="002746E2">
        <w:t xml:space="preserve">v uplynulém období </w:t>
      </w:r>
      <w:r w:rsidR="00897A3D" w:rsidRPr="002746E2">
        <w:t xml:space="preserve">byla </w:t>
      </w:r>
      <w:r w:rsidRPr="002746E2">
        <w:t xml:space="preserve">předmětem dalších odborných diskuzí, praktických poznatků i dílčích judikaturních posunů. </w:t>
      </w:r>
      <w:r w:rsidRPr="002746E2">
        <w:lastRenderedPageBreak/>
        <w:t>V praxi se ukázalo jako žádoucí zejména vyjasnění pojmu „</w:t>
      </w:r>
      <w:r w:rsidRPr="002746E2">
        <w:rPr>
          <w:i/>
        </w:rPr>
        <w:t>struktura formulářového podání</w:t>
      </w:r>
      <w:r w:rsidRPr="002746E2">
        <w:t xml:space="preserve">“, který přes své opakované užívání v právním řádu obecně a daňovém právu zvláště </w:t>
      </w:r>
      <w:r w:rsidR="00EB5A72" w:rsidRPr="002746E2">
        <w:t xml:space="preserve">historicky </w:t>
      </w:r>
      <w:r w:rsidRPr="002746E2">
        <w:t xml:space="preserve">nemá zcela ustálené a jednoznačné chápání, které by bylo bez dalšího plošně přijímáno. S tím úzce souvisí také otázka, do jaké míry má být tato „struktura“ předmětem normativní úpravy právním předpisem v duchu výše uvedeného nálezu Ústavního soudu, a do jaké míry může být určena a zveřejněna správcem daně.  </w:t>
      </w:r>
    </w:p>
    <w:p w14:paraId="7B88237E" w14:textId="17BDEFDB" w:rsidR="00680651" w:rsidRPr="002746E2" w:rsidRDefault="00680651" w:rsidP="00F2560A">
      <w:pPr>
        <w:widowControl w:val="0"/>
        <w:spacing w:after="120"/>
        <w:jc w:val="both"/>
      </w:pPr>
      <w:r w:rsidRPr="002746E2">
        <w:t xml:space="preserve">Při tom je třeba zohlednit mimo jiné rozsudek Nejvyššího správního soudu </w:t>
      </w:r>
      <w:r w:rsidR="00D701DC" w:rsidRPr="002746E2">
        <w:t>ze dne 31. ledna 2023 č. j. </w:t>
      </w:r>
      <w:r w:rsidRPr="002746E2">
        <w:t>2 Afs 395/2020-55, který (zjednodušeně řečeno) konstatoval, že podrobnosti údajů závazně požadovaných v rámci formulářového podání, resp. pokyny k jeho vyplnění</w:t>
      </w:r>
      <w:r w:rsidR="00897A3D" w:rsidRPr="002746E2">
        <w:t>,</w:t>
      </w:r>
      <w:r w:rsidRPr="002746E2">
        <w:t xml:space="preserve"> nesmějí absentovat v příslušné vyhlášce Ministerstva financí, tj. nesmějí fakticky vyplývat pouze ze struktury tohoto podání zveřejněné ze strany správce daně. Jinými slovy, není přípustné, aby zveřejněná struktura fakticky dotvářela okruh a podrobnosti požadovaných údajů a překračovala tak rámec pouhého řazení (strukturování) těchto údajů a dalších technických parametrů daného podání, kdy samotná povinnost poskytnutí údajů je dostatečně určitě založena již právním předpisem. Samotná struktura v úzkém (technickém) smyslu již stanovení ve vyhlášce nevyžaduje. Předmětný judikát se týkal vzoru, resp. struktury kontrolního hlášení na dani z přidané hodnoty, v jehož případě nebyly vzor formuláře ani pokyny k jeho vyplnění vůbec stanoveny právním předpisem (kontrolní hlášení v tomto ohledu představovalo výjimku lišící se od jiných formulářových podání) a k dotvoření rozsahu a podrobností požadovaných údajů docházelo až zveřejněním struktury podání správcem daně. Současně Nejvyšší správní soud naznačil, že způsob stanovení vzorů formulářových podání (kdy tento vzor je zastřešující jak pro listinný, tak pro elektronický formulář, tedy pro jeho strukturu) v tehdy již existující sadě vyhlášek pro správu daní lze považovat obecně za dostatečný. Ministerstvo financí proto na uvedený judikát </w:t>
      </w:r>
      <w:r w:rsidR="00B104CE" w:rsidRPr="002746E2">
        <w:t xml:space="preserve">bezprostředně reagovalo </w:t>
      </w:r>
      <w:r w:rsidRPr="002746E2">
        <w:t>doplněním vzoru kontrolního hlášení do příslušné vyhlášky</w:t>
      </w:r>
      <w:r w:rsidR="00EB5A72" w:rsidRPr="002746E2">
        <w:t xml:space="preserve"> č. 457/2020 Sb.</w:t>
      </w:r>
      <w:r w:rsidRPr="002746E2">
        <w:t>, čímž došlo ke sladění způsobu stanovení vzoru uvedeného podání s ostatními.</w:t>
      </w:r>
    </w:p>
    <w:p w14:paraId="0433C5CA" w14:textId="6EB1D75B" w:rsidR="00A701DB" w:rsidRPr="002746E2" w:rsidRDefault="00A701DB" w:rsidP="00F2560A">
      <w:pPr>
        <w:widowControl w:val="0"/>
        <w:spacing w:after="120"/>
        <w:jc w:val="both"/>
      </w:pPr>
      <w:r w:rsidRPr="002746E2">
        <w:t xml:space="preserve">Následně po této </w:t>
      </w:r>
      <w:r w:rsidR="00EB5A72" w:rsidRPr="002746E2">
        <w:t>operativní úpravě</w:t>
      </w:r>
      <w:r w:rsidRPr="002746E2">
        <w:t xml:space="preserve"> na úrovni vyhlášky byla připravena koncepčnější úprava § 72 daňového řádu, která </w:t>
      </w:r>
      <w:r w:rsidR="00B104CE" w:rsidRPr="002746E2">
        <w:t xml:space="preserve">reagovala </w:t>
      </w:r>
      <w:r w:rsidRPr="002746E2">
        <w:t xml:space="preserve">na zpřesňující vývoj poznání ve věci formulářových podání. Tato úprava se stala součástí novely daňového řádu obsažené ve výše uvedeném návrhu celnického balíčku. Cílem změny bylo především vyjasnění pojmu „struktura“ v kontextu formulářových podání při správě daní. </w:t>
      </w:r>
    </w:p>
    <w:p w14:paraId="0A79C9A0" w14:textId="379FB62B" w:rsidR="00680651" w:rsidRPr="002746E2" w:rsidRDefault="00A701DB" w:rsidP="00F2560A">
      <w:pPr>
        <w:widowControl w:val="0"/>
        <w:spacing w:after="120"/>
        <w:jc w:val="both"/>
      </w:pPr>
      <w:r w:rsidRPr="002746E2">
        <w:t xml:space="preserve">Dosavadní </w:t>
      </w:r>
      <w:r w:rsidR="00680651" w:rsidRPr="002746E2">
        <w:t>právní úprava v daňovém řádu používá ve vztahu k el</w:t>
      </w:r>
      <w:r w:rsidR="00B374C2" w:rsidRPr="002746E2">
        <w:t>ektronickému podání, resp. </w:t>
      </w:r>
      <w:r w:rsidR="00680651" w:rsidRPr="002746E2">
        <w:t xml:space="preserve">datové zprávě, </w:t>
      </w:r>
      <w:r w:rsidRPr="002746E2">
        <w:t xml:space="preserve">pojem „struktura“ </w:t>
      </w:r>
      <w:r w:rsidR="00680651" w:rsidRPr="002746E2">
        <w:t xml:space="preserve">bez dalšího. Obdobně k používání tohoto pojmu přistupují i jiné právní předpisy. </w:t>
      </w:r>
      <w:r w:rsidR="00C07D2C" w:rsidRPr="002746E2">
        <w:t xml:space="preserve">Nová textace § 72 daňového řádu obsažená v celnickém balíčku pojem „struktura“ podrobněji upravuje. </w:t>
      </w:r>
      <w:r w:rsidR="00593962" w:rsidRPr="002746E2">
        <w:t xml:space="preserve">Reflektována </w:t>
      </w:r>
      <w:r w:rsidR="00680651" w:rsidRPr="002746E2">
        <w:t>jsou i další judikaturní upřesnění, například závěr, podle něhož není na místě odlišovat obligatorní a fakultativní okruhy údajů požadovaných ve formulářových podáních z hlediska jejich úpravy vyhláškou (d</w:t>
      </w:r>
      <w:r w:rsidR="00C07D2C" w:rsidRPr="002746E2">
        <w:t>osavadní</w:t>
      </w:r>
      <w:r w:rsidR="00680651" w:rsidRPr="002746E2">
        <w:t xml:space="preserve"> dělení v § 72 odst. 4 a 5 daňového řádu), neboť se – má-li jít o vynutitelný požadavek – musí jednat o obligatorní obsah vyhlášky. </w:t>
      </w:r>
    </w:p>
    <w:p w14:paraId="7D38AFE6" w14:textId="07AC0A73" w:rsidR="00680651" w:rsidRPr="002746E2" w:rsidRDefault="00680651" w:rsidP="00F2560A">
      <w:pPr>
        <w:widowControl w:val="0"/>
        <w:spacing w:after="120"/>
        <w:jc w:val="both"/>
      </w:pPr>
      <w:r w:rsidRPr="002746E2">
        <w:t>Na pojem „struktury“ formulářového podání lze v teoretické rovině</w:t>
      </w:r>
      <w:r w:rsidR="00C07D2C" w:rsidRPr="002746E2">
        <w:t>, která je nově převzata i do textu daňového řádu,</w:t>
      </w:r>
      <w:r w:rsidRPr="002746E2">
        <w:t xml:space="preserve"> nahlížet dvojím způsobem: jako na tzv. obsahovou strukturu podání, nebo na tzv. datovou strukturu podání.</w:t>
      </w:r>
    </w:p>
    <w:p w14:paraId="02C11447" w14:textId="2F039A29" w:rsidR="00680651" w:rsidRPr="002746E2" w:rsidRDefault="00680651" w:rsidP="00F2560A">
      <w:pPr>
        <w:widowControl w:val="0"/>
        <w:spacing w:after="120"/>
        <w:jc w:val="both"/>
      </w:pPr>
      <w:r w:rsidRPr="002746E2">
        <w:rPr>
          <w:i/>
        </w:rPr>
        <w:t>Obsahová struktura formulářového podání</w:t>
      </w:r>
      <w:r w:rsidRPr="002746E2">
        <w:t xml:space="preserve"> je esenciálním požadavkem na každý formulář, a to bez ohledu na jeho formu. Díky ní se osoba, která daný formulář vyplňuje, dozvídá pravidla a požadavky, které musí při tomto vyplňování respektovat. Základní rámec pro obsahovou strukturu představují obecné náležitosti (požadavky) stanovené zákonem pro každé podání. Zákon </w:t>
      </w:r>
      <w:r w:rsidR="0079141B" w:rsidRPr="002746E2">
        <w:t xml:space="preserve">poté </w:t>
      </w:r>
      <w:r w:rsidRPr="002746E2">
        <w:t xml:space="preserve">zpravidla stanoví další povinné náležitosti. Podzákonný právní předpis (vyhláška) </w:t>
      </w:r>
      <w:r w:rsidR="0079141B" w:rsidRPr="002746E2">
        <w:t xml:space="preserve">následně </w:t>
      </w:r>
      <w:r w:rsidRPr="002746E2">
        <w:t xml:space="preserve">může tyto náležitosti dále precizovat a rozvádět. V praxi půjde o vytvoření </w:t>
      </w:r>
      <w:r w:rsidR="00B374C2" w:rsidRPr="002746E2">
        <w:t xml:space="preserve">popisu </w:t>
      </w:r>
      <w:r w:rsidR="00B374C2" w:rsidRPr="002746E2">
        <w:lastRenderedPageBreak/>
        <w:t xml:space="preserve">uspořádání a podrobností požadovaných údajů a obecných náležitostí podání, </w:t>
      </w:r>
      <w:r w:rsidR="00497832" w:rsidRPr="002746E2">
        <w:t>popř.</w:t>
      </w:r>
      <w:r w:rsidR="00B374C2" w:rsidRPr="002746E2">
        <w:t xml:space="preserve"> o vytvoření </w:t>
      </w:r>
      <w:r w:rsidRPr="002746E2">
        <w:t>závazného vzoru pro daný formulář</w:t>
      </w:r>
      <w:r w:rsidR="00497832" w:rsidRPr="002746E2">
        <w:t>, jakož i o</w:t>
      </w:r>
      <w:r w:rsidRPr="002746E2">
        <w:t> stanovení pokynů pro jeho vyplnění. V případě elektronického formuláře může obsahová struktura nad rámec pravidel společných pro všechny formy formuláře (tedy i listinnou) obsahovat další požadavky poplatné této formě podání.</w:t>
      </w:r>
    </w:p>
    <w:p w14:paraId="443395E0" w14:textId="7BFEEA81" w:rsidR="00680651" w:rsidRPr="002746E2" w:rsidRDefault="00680651" w:rsidP="00F2560A">
      <w:pPr>
        <w:widowControl w:val="0"/>
        <w:spacing w:after="120"/>
        <w:jc w:val="both"/>
      </w:pPr>
      <w:r w:rsidRPr="002746E2">
        <w:rPr>
          <w:i/>
        </w:rPr>
        <w:t>Datová struktura formulářového podání</w:t>
      </w:r>
      <w:r w:rsidRPr="002746E2">
        <w:t xml:space="preserve"> je toliko technicistním požadavkem pro formuláře v elektronické podobě. Je odvislá od formátu podání, který stanoví vyhláška, a také od stanovené obsahové struktury, kterou musí respektovat a nemůže </w:t>
      </w:r>
      <w:r w:rsidR="00524CCF" w:rsidRPr="002746E2">
        <w:t>j</w:t>
      </w:r>
      <w:r w:rsidR="00524CCF">
        <w:t>i</w:t>
      </w:r>
      <w:r w:rsidR="00524CCF" w:rsidRPr="002746E2">
        <w:t xml:space="preserve"> </w:t>
      </w:r>
      <w:r w:rsidRPr="002746E2">
        <w:t>dále rozšiřovat. Zjednodušeně řečeno, jde tedy o jakési „překlopení“ požadavků daných obsahovou strukturou do podoby, která umožní automatizované zpracování informačními systémy, kterými ten který správce daně disponuje. Datovou strukturu proto neurčuje právní předpis, ale sám orgán veřejné moci v závislosti na technologickém vybavení a informačních systémech, jimiž disponuje.</w:t>
      </w:r>
    </w:p>
    <w:p w14:paraId="29A8B5ED" w14:textId="6099202E" w:rsidR="00680651" w:rsidRPr="002746E2" w:rsidRDefault="00680651" w:rsidP="00F2560A">
      <w:pPr>
        <w:widowControl w:val="0"/>
        <w:spacing w:after="120"/>
        <w:jc w:val="both"/>
      </w:pPr>
      <w:r w:rsidRPr="002746E2">
        <w:t xml:space="preserve">Obecně přitom platí, že orgán veřejné moci je tradičně nadán faktickou pravomocí zavést („určit“) některé technické parametry </w:t>
      </w:r>
      <w:r w:rsidR="009E0343" w:rsidRPr="002746E2">
        <w:t>sv</w:t>
      </w:r>
      <w:r w:rsidR="009E0343">
        <w:t>é</w:t>
      </w:r>
      <w:r w:rsidR="009E0343" w:rsidRPr="002746E2">
        <w:t xml:space="preserve"> </w:t>
      </w:r>
      <w:r w:rsidRPr="002746E2">
        <w:t xml:space="preserve">činnosti, které z reálných podmínek </w:t>
      </w:r>
      <w:r w:rsidR="0079141B" w:rsidRPr="002746E2">
        <w:t>této</w:t>
      </w:r>
      <w:r w:rsidRPr="002746E2">
        <w:t xml:space="preserve"> činnosti</w:t>
      </w:r>
      <w:r w:rsidR="0079141B" w:rsidRPr="002746E2">
        <w:t xml:space="preserve"> vyplývají</w:t>
      </w:r>
      <w:r w:rsidRPr="002746E2">
        <w:t xml:space="preserve">. Typickými příklady může být nastavení úředních hodin, rozvrhu práce v rámci orgánu či některých komunikačních kanálů navenek. Tyto prvky mohou v reálném životě značně ovlivnit práva a povinnosti adresátů výkonu veřejné moci, přesto </w:t>
      </w:r>
      <w:r w:rsidR="00916DB4" w:rsidRPr="004521DB">
        <w:t xml:space="preserve">by </w:t>
      </w:r>
      <w:r w:rsidRPr="002746E2">
        <w:t xml:space="preserve">bez možnosti uvedené provozní a technické parametry své činnosti autonomně nastavovat </w:t>
      </w:r>
      <w:r w:rsidR="00916DB4" w:rsidRPr="00CC30BB">
        <w:t xml:space="preserve">byl </w:t>
      </w:r>
      <w:r w:rsidRPr="002746E2">
        <w:t>výkon veřejné moci jen obtížně realizovatelný. Daňový řád upravuje pravomoc, resp. povinnost správce daně nastavovat („určit a zveřejnit“) uvedené provozní a technické parametry své činnosti v rámci úpravy infomační povinnosti v § 56 daňového řádu.</w:t>
      </w:r>
      <w:r w:rsidR="00A55EEF" w:rsidRPr="002746E2">
        <w:t xml:space="preserve"> </w:t>
      </w:r>
      <w:r w:rsidRPr="002746E2">
        <w:t xml:space="preserve">Do této kategorie spadá právě určení datové struktury formulářového podání, které na rozdíl od jeho </w:t>
      </w:r>
      <w:r w:rsidR="00A55EEF" w:rsidRPr="002746E2">
        <w:t xml:space="preserve">obsahové </w:t>
      </w:r>
      <w:r w:rsidRPr="002746E2">
        <w:t xml:space="preserve">struktury neaspiruje na </w:t>
      </w:r>
      <w:r w:rsidR="00A1047F" w:rsidRPr="002746E2">
        <w:t>upravení či konkretizování požadovaných údajů</w:t>
      </w:r>
      <w:r w:rsidRPr="002746E2">
        <w:t xml:space="preserve">, ale toliko </w:t>
      </w:r>
      <w:r w:rsidR="00897A3D" w:rsidRPr="002746E2">
        <w:t xml:space="preserve">na </w:t>
      </w:r>
      <w:r w:rsidRPr="002746E2">
        <w:t xml:space="preserve">nastavení technických parametrů podání. Daňový subjekt je takto určenou datovou strukturu povinen respektovat stejně jako jiné provozní a technické parametry činnosti orgánů veřejné moci dané objektivní realitou či jejich vnitřním nastavením. </w:t>
      </w:r>
    </w:p>
    <w:p w14:paraId="56B00F60" w14:textId="213A5197" w:rsidR="00B56D14" w:rsidRDefault="00680651" w:rsidP="00F2560A">
      <w:pPr>
        <w:widowControl w:val="0"/>
        <w:spacing w:after="120"/>
        <w:jc w:val="both"/>
      </w:pPr>
      <w:r w:rsidRPr="002746E2">
        <w:t xml:space="preserve">V rámci </w:t>
      </w:r>
      <w:r w:rsidR="00A55EEF" w:rsidRPr="002746E2">
        <w:t xml:space="preserve">dosavadního </w:t>
      </w:r>
      <w:r w:rsidRPr="002746E2">
        <w:t xml:space="preserve">znění § 72 odst. 2 daňového řádu </w:t>
      </w:r>
      <w:r w:rsidR="00F8328E" w:rsidRPr="002746E2">
        <w:t xml:space="preserve">jsou dosud </w:t>
      </w:r>
      <w:r w:rsidR="00A55EEF" w:rsidRPr="002746E2">
        <w:t xml:space="preserve">(před účinností novely obsažené v celnickém balíčku) </w:t>
      </w:r>
      <w:r w:rsidRPr="002746E2">
        <w:t>obecně normovány tři možné alternativy způsobů, jimiž lze formulářové podání učinit. Formulářové podání tak je především možné podat na tiskopisu vydaném Ministerstvem financí. Po stránce obsahové tento tiskopis musí obsahovat pouze takové údaje a náležitosti a případně jejich uspořádání, které odpovídají zákonné úpravě a jejím podrobnostem upraveným vyhláškou Ministerstva financí (viz stávající § 72 odst.</w:t>
      </w:r>
      <w:r w:rsidR="00897A3D" w:rsidRPr="002746E2">
        <w:t> </w:t>
      </w:r>
      <w:r w:rsidRPr="002746E2">
        <w:t>3 až</w:t>
      </w:r>
      <w:r w:rsidR="00897A3D" w:rsidRPr="002746E2">
        <w:t xml:space="preserve"> 5 </w:t>
      </w:r>
      <w:r w:rsidRPr="002746E2">
        <w:t>daňového řádu). V případě, že je cestou vyhlášky upraven přímo vzor tiskopisu, je následně tiskopis vydán podle tohoto vzoru. Další způsob, kterým lze učinit formulářové podání, je stejně jako v minulosti podání na tiskovém výstupu, jehož obsah (údaje, náležitosti a jejich uspořádání) odpovídá vydanému tiskopisu nebo vzoru tiskopisu upravenému ve vyhlášce Ministerstva financí, pokud tato vyhláška takový vzor obsahuje (případně se zohledněním přípustných modifikací dle § 5 standardizovaného znění formulářových vyhlášek). Třetí způsob představuje elektronické formulářové podání, jehož formát a strukturu zveřejní správce daně, přičemž okruh údajů, který je v takovém podání požadován, musí opět odpovídat okruhu údajů, které vyplývají ze zákonné úpravy a z jejích podrobností stanovených vyhláškou Ministerstva financí, resp. ze vzoru, který je vyhláškou stanoven. Rovněž zveřejněný formát formulářového podání musí respektovat minimální požadavky na tento formát</w:t>
      </w:r>
      <w:r w:rsidR="0036026A" w:rsidRPr="002746E2">
        <w:t>, které jsou</w:t>
      </w:r>
      <w:r w:rsidRPr="002746E2">
        <w:t xml:space="preserve"> </w:t>
      </w:r>
      <w:r w:rsidR="00A1047F" w:rsidRPr="002746E2">
        <w:t xml:space="preserve">stanovené </w:t>
      </w:r>
      <w:r w:rsidRPr="002746E2">
        <w:t>vyhláškou.</w:t>
      </w:r>
    </w:p>
    <w:p w14:paraId="6AB5D079" w14:textId="699031A3" w:rsidR="006000D7" w:rsidRPr="002746E2" w:rsidRDefault="0079141B" w:rsidP="00F2560A">
      <w:pPr>
        <w:widowControl w:val="0"/>
        <w:spacing w:after="120"/>
        <w:jc w:val="both"/>
      </w:pPr>
      <w:r w:rsidRPr="002746E2">
        <w:t>Pro formulářová podání k dorovnávacím daním byla zvolena třetí cesta, tj. plně elektronické podání, což vyplývá obligatorně již z § 128 zákona o dorovnávacích daních.</w:t>
      </w:r>
      <w:r w:rsidR="00551D7F" w:rsidRPr="002746E2">
        <w:t xml:space="preserve"> I v tomto případě však bude platit celnickým balíčkem novelizované ustanovení § 72 odst. 2 daňového řádu, které stanoví</w:t>
      </w:r>
      <w:r w:rsidR="006000D7" w:rsidRPr="002746E2">
        <w:t xml:space="preserve">, že </w:t>
      </w:r>
      <w:r w:rsidR="006000D7" w:rsidRPr="002746E2">
        <w:rPr>
          <w:i/>
        </w:rPr>
        <w:t>„ve formulářovém podání je třeba dodržet stanovenou obsahovou strukturu“</w:t>
      </w:r>
      <w:r w:rsidR="006000D7" w:rsidRPr="002746E2">
        <w:t>. Tento požadavek platí bez ohledu na formu, v jaké je podání učiněno, tj. pojem „obsahová struktura“ je zde jednoznačně zaváděn jako společný pro listinná i elektronická podání, jakkoliv je možné (nikoliv nutné), aby byla tato obsahová struktura pro</w:t>
      </w:r>
      <w:r w:rsidR="005F4BCE" w:rsidRPr="002746E2">
        <w:t> </w:t>
      </w:r>
      <w:r w:rsidR="006000D7" w:rsidRPr="002746E2">
        <w:t xml:space="preserve">obě formy podání stanovena různě. </w:t>
      </w:r>
    </w:p>
    <w:p w14:paraId="6186DAAF" w14:textId="2A7871E1" w:rsidR="00680651" w:rsidRPr="002746E2" w:rsidRDefault="00BE24A3" w:rsidP="00F2560A">
      <w:pPr>
        <w:widowControl w:val="0"/>
        <w:spacing w:after="120"/>
        <w:jc w:val="both"/>
      </w:pPr>
      <w:r>
        <w:lastRenderedPageBreak/>
        <w:t>N</w:t>
      </w:r>
      <w:r w:rsidRPr="002746E2">
        <w:t xml:space="preserve">ová </w:t>
      </w:r>
      <w:r w:rsidR="005F4BCE" w:rsidRPr="002746E2">
        <w:t>podoba § 72 odst. 2 daňového řádu</w:t>
      </w:r>
      <w:r w:rsidR="00493E69" w:rsidRPr="002746E2">
        <w:t xml:space="preserve"> </w:t>
      </w:r>
      <w:r>
        <w:t>o</w:t>
      </w:r>
      <w:r w:rsidRPr="00156894">
        <w:t xml:space="preserve">proti předchozímu znění </w:t>
      </w:r>
      <w:r w:rsidR="00680651" w:rsidRPr="002746E2">
        <w:t>lépe vyjadř</w:t>
      </w:r>
      <w:r w:rsidR="005F4BCE" w:rsidRPr="002746E2">
        <w:t>uje právě skutečnost</w:t>
      </w:r>
      <w:r w:rsidR="00680651" w:rsidRPr="002746E2">
        <w:t>, že z hlediska formy podání je základní členění pouze dvojí: formulářové podání je učiněno buď v </w:t>
      </w:r>
      <w:r w:rsidR="00680651" w:rsidRPr="002746E2">
        <w:rPr>
          <w:i/>
        </w:rPr>
        <w:t>listinné podobě</w:t>
      </w:r>
      <w:r w:rsidR="00680651" w:rsidRPr="002746E2">
        <w:t>, anebo v </w:t>
      </w:r>
      <w:r w:rsidR="00680651" w:rsidRPr="002746E2">
        <w:rPr>
          <w:i/>
        </w:rPr>
        <w:t>elektronické podobě</w:t>
      </w:r>
      <w:r w:rsidR="00680651" w:rsidRPr="002746E2">
        <w:t>. Písmeno b) je věnováno elektronické formě formulářového podání</w:t>
      </w:r>
      <w:r w:rsidR="00493E69" w:rsidRPr="002746E2">
        <w:t>, přičemž se zde</w:t>
      </w:r>
      <w:r w:rsidR="005F4BCE" w:rsidRPr="002746E2">
        <w:t xml:space="preserve"> opět</w:t>
      </w:r>
      <w:r w:rsidR="00680651" w:rsidRPr="002746E2">
        <w:t xml:space="preserve"> promítá výše zmíněná precizace pojmu „struktura“</w:t>
      </w:r>
      <w:r w:rsidR="00493E69" w:rsidRPr="002746E2">
        <w:t xml:space="preserve">: podání lze učinit </w:t>
      </w:r>
      <w:r w:rsidR="006000D7" w:rsidRPr="002746E2">
        <w:rPr>
          <w:i/>
        </w:rPr>
        <w:t>„</w:t>
      </w:r>
      <w:r w:rsidR="00493E69" w:rsidRPr="002746E2">
        <w:rPr>
          <w:i/>
        </w:rPr>
        <w:t>elektronicky s využitím dálkového přístupu ve stanoveném formátu</w:t>
      </w:r>
      <w:r w:rsidR="006000D7" w:rsidRPr="002746E2">
        <w:rPr>
          <w:i/>
        </w:rPr>
        <w:t xml:space="preserve"> a</w:t>
      </w:r>
      <w:r w:rsidR="005F4BCE" w:rsidRPr="002746E2">
        <w:rPr>
          <w:i/>
        </w:rPr>
        <w:t> </w:t>
      </w:r>
      <w:r w:rsidR="006000D7" w:rsidRPr="002746E2">
        <w:rPr>
          <w:i/>
        </w:rPr>
        <w:t>požadované datové struktuře“</w:t>
      </w:r>
      <w:r w:rsidR="006000D7" w:rsidRPr="002746E2">
        <w:t>.</w:t>
      </w:r>
      <w:r w:rsidR="00680651" w:rsidRPr="002746E2">
        <w:t xml:space="preserve"> </w:t>
      </w:r>
      <w:r w:rsidR="005F4BCE" w:rsidRPr="002746E2">
        <w:t>J</w:t>
      </w:r>
      <w:r w:rsidR="00680651" w:rsidRPr="002746E2">
        <w:t xml:space="preserve">e zde </w:t>
      </w:r>
      <w:r w:rsidR="005F4BCE" w:rsidRPr="002746E2">
        <w:t>tedy</w:t>
      </w:r>
      <w:r w:rsidR="00680651" w:rsidRPr="002746E2">
        <w:t xml:space="preserve"> použit i pojem </w:t>
      </w:r>
      <w:r w:rsidR="005F4BCE" w:rsidRPr="002746E2">
        <w:t>„</w:t>
      </w:r>
      <w:r w:rsidR="00680651" w:rsidRPr="002746E2">
        <w:t>datová struktura formulářového podání</w:t>
      </w:r>
      <w:r w:rsidR="005F4BCE" w:rsidRPr="002746E2">
        <w:t>“</w:t>
      </w:r>
      <w:r w:rsidR="00680651" w:rsidRPr="002746E2">
        <w:t>, pro který je klíčový požadavek zakotvený v novém § 56 odst. 1 písm. b) bodu</w:t>
      </w:r>
      <w:r w:rsidR="00C823BF" w:rsidRPr="002746E2">
        <w:t> </w:t>
      </w:r>
      <w:r w:rsidR="00680651" w:rsidRPr="002746E2">
        <w:t>4</w:t>
      </w:r>
      <w:r w:rsidR="00C823BF" w:rsidRPr="002746E2">
        <w:t xml:space="preserve"> </w:t>
      </w:r>
      <w:r w:rsidR="00680651" w:rsidRPr="002746E2">
        <w:t>daňového řádu. Tedy, že</w:t>
      </w:r>
      <w:r w:rsidR="00D701DC" w:rsidRPr="002746E2">
        <w:t xml:space="preserve"> </w:t>
      </w:r>
      <w:r w:rsidR="00680651" w:rsidRPr="002746E2">
        <w:t xml:space="preserve">datová struktura musí odpovídat stanovenému formátu a obsahové struktuře formulářového podání, přičemž </w:t>
      </w:r>
      <w:r w:rsidR="00493E69" w:rsidRPr="002746E2">
        <w:t xml:space="preserve">sama </w:t>
      </w:r>
      <w:r w:rsidR="00680651" w:rsidRPr="002746E2">
        <w:t xml:space="preserve">je určena a zveřejněna správcem daně. </w:t>
      </w:r>
    </w:p>
    <w:p w14:paraId="1467AD57" w14:textId="34D8BEE6" w:rsidR="00680651" w:rsidRPr="002746E2" w:rsidRDefault="00680651" w:rsidP="00F2560A">
      <w:pPr>
        <w:widowControl w:val="0"/>
        <w:spacing w:after="120"/>
        <w:jc w:val="both"/>
      </w:pPr>
      <w:r w:rsidRPr="002746E2">
        <w:t xml:space="preserve">Ustanovení § 72 odst. 3 daňového řádu v současnosti obsahuje obecný výčet základních okruhů údajů, které mohou být součástí formulářových podání, společný pro všechny daňové zákony. Na výše uvedené navazuje v § 72 odst. 4 a 5 daňového řádu úprava zmocnění Ministerstva financí k vydání vyhlášky upravující podrobnosti údajů a náležitostí, a popřípadě jejich uspořádání v rámci formulářových podání. V případě elektronických formulářů lze takto stanovit též jejich formát. Konečně je možné podle § 72 odst. 5 písm. e) daňového řádu stanovit vzor formulářového podání. V návaznosti na výše uvedené skutečnosti a zákonné zmocnění v § 72 daňového řádu </w:t>
      </w:r>
      <w:r w:rsidR="00B431BA" w:rsidRPr="00385626">
        <w:t xml:space="preserve">Ministerstvo financí </w:t>
      </w:r>
      <w:r w:rsidR="00B431BA">
        <w:t xml:space="preserve">již </w:t>
      </w:r>
      <w:r w:rsidRPr="002746E2">
        <w:t>vydalo sadu vyhlášek, které stanovily zejména vzory formulářových podání pro jednotlivé daně, přičemž tyto vyhlášky jsou prakticky každý rok aktualizovány.</w:t>
      </w:r>
    </w:p>
    <w:p w14:paraId="6871A511" w14:textId="0536D713" w:rsidR="00680651" w:rsidRPr="002746E2" w:rsidRDefault="00680651" w:rsidP="00F2560A">
      <w:pPr>
        <w:widowControl w:val="0"/>
        <w:spacing w:after="120"/>
        <w:jc w:val="both"/>
      </w:pPr>
      <w:r w:rsidRPr="002746E2">
        <w:t xml:space="preserve">V úvodu zmíněná precizace textu zavádějící pojmy </w:t>
      </w:r>
      <w:r w:rsidRPr="002746E2">
        <w:rPr>
          <w:i/>
        </w:rPr>
        <w:t>obsahová</w:t>
      </w:r>
      <w:r w:rsidRPr="002746E2">
        <w:t xml:space="preserve"> a </w:t>
      </w:r>
      <w:r w:rsidRPr="002746E2">
        <w:rPr>
          <w:i/>
        </w:rPr>
        <w:t>datová struktura</w:t>
      </w:r>
      <w:r w:rsidRPr="002746E2">
        <w:t xml:space="preserve"> formulářového podání se promítá </w:t>
      </w:r>
      <w:r w:rsidR="00A51C99" w:rsidRPr="002746E2">
        <w:t>rovněž v § 72 odst. 4 daňového řádu</w:t>
      </w:r>
      <w:r w:rsidRPr="002746E2">
        <w:t xml:space="preserve">, kde je </w:t>
      </w:r>
      <w:r w:rsidR="00806868" w:rsidRPr="002746E2">
        <w:t>p</w:t>
      </w:r>
      <w:r w:rsidRPr="002746E2">
        <w:t xml:space="preserve">ojem obsahové struktury spojován se všemi způsoby činění formulářového podání, tj. tato obsahová struktura by měla být pro formulářové podání </w:t>
      </w:r>
      <w:r w:rsidR="00806868" w:rsidRPr="002746E2">
        <w:t xml:space="preserve">vždy stanovena příslušnou </w:t>
      </w:r>
      <w:r w:rsidRPr="002746E2">
        <w:t xml:space="preserve">vyhláškou. Obdobně je třeba chápat i pojem „vzoru“ formulářového podání, jako jednoho z možných pojetí obsahové struktury. </w:t>
      </w:r>
      <w:r w:rsidR="005C61D4" w:rsidRPr="002746E2">
        <w:t xml:space="preserve">Pojem obsahové struktury </w:t>
      </w:r>
      <w:r w:rsidRPr="002746E2">
        <w:t>je zastřešující jak pro listinný, tak pro elektronický formulář – v prvním případě je zhmotněn fyzickým vydání</w:t>
      </w:r>
      <w:r w:rsidR="00806868" w:rsidRPr="002746E2">
        <w:t>m</w:t>
      </w:r>
      <w:r w:rsidRPr="002746E2">
        <w:t xml:space="preserve"> listinného tiskopisu Ministerstvem financí, ve druhém případě je zhmotněn prostřednictvím určení a zveřejnění datové struktury elektronického podání správcem daně. V obou případech přitom tiskopis i datová struktura musí </w:t>
      </w:r>
      <w:r w:rsidR="005C61D4" w:rsidRPr="002746E2">
        <w:t>respektovat</w:t>
      </w:r>
      <w:r w:rsidRPr="002746E2">
        <w:t xml:space="preserve"> </w:t>
      </w:r>
      <w:r w:rsidR="005C61D4" w:rsidRPr="002746E2">
        <w:t>obsahovou strukturu</w:t>
      </w:r>
      <w:r w:rsidRPr="002746E2">
        <w:t xml:space="preserve"> stanoven</w:t>
      </w:r>
      <w:r w:rsidR="005C61D4" w:rsidRPr="002746E2">
        <w:t>ou</w:t>
      </w:r>
      <w:r w:rsidRPr="002746E2">
        <w:t xml:space="preserve"> vyhláškou. </w:t>
      </w:r>
    </w:p>
    <w:p w14:paraId="3C7E9E7F" w14:textId="7A203EF7" w:rsidR="00680651" w:rsidRPr="002746E2" w:rsidRDefault="00680651" w:rsidP="00F2560A">
      <w:pPr>
        <w:widowControl w:val="0"/>
        <w:spacing w:after="120"/>
        <w:jc w:val="both"/>
      </w:pPr>
      <w:r w:rsidRPr="002746E2">
        <w:t xml:space="preserve">Fakultativním obsahem vyhlášky zůstává podle nového § 72 odst. 5 daňového řádu tak jako dosud stanovení </w:t>
      </w:r>
      <w:r w:rsidRPr="002746E2">
        <w:rPr>
          <w:i/>
        </w:rPr>
        <w:t>formátu</w:t>
      </w:r>
      <w:r w:rsidRPr="002746E2">
        <w:t xml:space="preserve"> elektronického formulářového podání. Pokud by nebyl pro konkrétní formulář formát stanoven vyhláškou, aplikuje se obecné pravidlo, kdy požadavek na dodržení určitého formátu datové zprávy vyplývá z § 56 odst. 1 písm. b) bod</w:t>
      </w:r>
      <w:r w:rsidR="00A1047F" w:rsidRPr="002746E2">
        <w:t>u</w:t>
      </w:r>
      <w:r w:rsidRPr="002746E2">
        <w:t xml:space="preserve"> 3 daňového řádu. Podle něj musí správce daně určit a zveřejnit formáty datových zpráv, které je způsobilý přijmout. V rámci tohoto určení správci daně nepřísluší diskrece, která by mu umožňovala pro vybraná podání vylučovat standardní a běžně užívané formáty datových zpráv. Cílem je pouze vyloučit excesivní využití netradičních formátů, které ze strany správce daně není možné standardně zpracovat. Pokud by pro určité formulářové podání nebyl vyhláškou stanoven formát, neznamená to, že by nebyl stanoven vůbec, ale pouze to, že dané formulářové podání lze učinit v kterémkoli ze standardně přípustných formátů datové zprávy. Případná povinnost učinit podání elektronicky tímto není dotčena.</w:t>
      </w:r>
      <w:r w:rsidR="00806868" w:rsidRPr="002746E2">
        <w:t xml:space="preserve"> </w:t>
      </w:r>
      <w:r w:rsidRPr="002746E2">
        <w:t xml:space="preserve">Možnost stanovení formátu elektronického formulářového podání pro jednotlivé druhy daní neomezuje možnost v rámci jednoho obecného typu daně (např. daň z příjmů, spotřební daň) požadovat různé formáty pro jednotlivé formuláře odpovídající konkrétním tematickým skupinám (zejména druhům daně), které lze pod obecné označení daně subsumovat. </w:t>
      </w:r>
    </w:p>
    <w:p w14:paraId="15027FCF" w14:textId="04909732" w:rsidR="00D372BC" w:rsidRPr="002746E2" w:rsidRDefault="00551D7F" w:rsidP="00F2560A">
      <w:pPr>
        <w:widowControl w:val="0"/>
        <w:spacing w:after="120"/>
        <w:jc w:val="both"/>
      </w:pPr>
      <w:r w:rsidRPr="002746E2">
        <w:t>Nová pravidla pro tvorbu vyhlášek upravujících formulářová podán</w:t>
      </w:r>
      <w:r w:rsidR="0036026A" w:rsidRPr="002746E2">
        <w:t>í se promítají</w:t>
      </w:r>
      <w:r w:rsidRPr="002746E2">
        <w:t xml:space="preserve"> taktéž do tohoto návrhu vyhlášky</w:t>
      </w:r>
      <w:r w:rsidR="0036026A" w:rsidRPr="002746E2">
        <w:t xml:space="preserve"> s vědomím, že v</w:t>
      </w:r>
      <w:r w:rsidR="00252898" w:rsidRPr="002746E2">
        <w:t xml:space="preserve"> souladu s novou terminologií </w:t>
      </w:r>
      <w:r w:rsidR="006A2BF4" w:rsidRPr="002746E2">
        <w:t xml:space="preserve">§ 72 daňového řádu je proto třeba nově definovat předmět úpravy </w:t>
      </w:r>
      <w:r w:rsidR="0036026A" w:rsidRPr="002746E2">
        <w:t>návrhu vyhlášky</w:t>
      </w:r>
      <w:r w:rsidR="006A2BF4" w:rsidRPr="002746E2">
        <w:t xml:space="preserve"> tak, aby </w:t>
      </w:r>
      <w:r w:rsidR="0036026A" w:rsidRPr="002746E2">
        <w:t>tato</w:t>
      </w:r>
      <w:r w:rsidR="006A2BF4" w:rsidRPr="002746E2">
        <w:t xml:space="preserve"> upravoval</w:t>
      </w:r>
      <w:r w:rsidR="0036026A" w:rsidRPr="002746E2">
        <w:t>a</w:t>
      </w:r>
      <w:r w:rsidR="006A2BF4" w:rsidRPr="002746E2">
        <w:t xml:space="preserve"> obsahovou </w:t>
      </w:r>
      <w:r w:rsidR="006A2BF4" w:rsidRPr="002746E2">
        <w:lastRenderedPageBreak/>
        <w:t>strukturu pro elektronické verze formulářů, a dále (stejně jako dosud) formát elektronické verze formulářů (§</w:t>
      </w:r>
      <w:r w:rsidR="00BC1CF2" w:rsidRPr="002746E2">
        <w:t xml:space="preserve"> </w:t>
      </w:r>
      <w:r w:rsidR="006A2BF4" w:rsidRPr="002746E2">
        <w:t xml:space="preserve">1 standardizované </w:t>
      </w:r>
      <w:r w:rsidR="00D372BC" w:rsidRPr="002746E2">
        <w:t>konstrukce</w:t>
      </w:r>
      <w:r w:rsidR="006A2BF4" w:rsidRPr="002746E2">
        <w:t xml:space="preserve"> </w:t>
      </w:r>
      <w:r w:rsidR="00D372BC" w:rsidRPr="002746E2">
        <w:t xml:space="preserve">úvodních ustanovení </w:t>
      </w:r>
      <w:r w:rsidR="006A2BF4" w:rsidRPr="002746E2">
        <w:t>vyhlášek)</w:t>
      </w:r>
      <w:r w:rsidR="00BC1CF2" w:rsidRPr="002746E2">
        <w:t>.</w:t>
      </w:r>
      <w:r w:rsidR="00D372BC" w:rsidRPr="002746E2">
        <w:t xml:space="preserve"> Dále je třeba v novém členění opustit speciální pravidlo pro elektronická podání (viz výše), pro které v novém pojetí není důvod. Konečně je třeba modifikovat společná ustanovení vyhlášek (nový § 4).</w:t>
      </w:r>
    </w:p>
    <w:p w14:paraId="18A0C3AC" w14:textId="6F473DCF" w:rsidR="00632751" w:rsidRPr="002746E2" w:rsidRDefault="00FC68A8" w:rsidP="00F2560A">
      <w:pPr>
        <w:widowControl w:val="0"/>
        <w:spacing w:after="120"/>
        <w:jc w:val="both"/>
      </w:pPr>
      <w:r w:rsidRPr="002746E2">
        <w:t xml:space="preserve">Důsledkem </w:t>
      </w:r>
      <w:r w:rsidR="00632751" w:rsidRPr="002746E2">
        <w:t>nov</w:t>
      </w:r>
      <w:r w:rsidRPr="002746E2">
        <w:t>é</w:t>
      </w:r>
      <w:r w:rsidR="00632751" w:rsidRPr="002746E2">
        <w:t xml:space="preserve"> terminologi</w:t>
      </w:r>
      <w:r w:rsidRPr="002746E2">
        <w:t>e</w:t>
      </w:r>
      <w:r w:rsidR="00632751" w:rsidRPr="002746E2">
        <w:t xml:space="preserve"> § 72 daňového řádu, jakož i výše uveden</w:t>
      </w:r>
      <w:r w:rsidRPr="002746E2">
        <w:t>é</w:t>
      </w:r>
      <w:r w:rsidR="00632751" w:rsidRPr="002746E2">
        <w:t xml:space="preserve"> změny podoby přílohy formulářových vyhlášek, je faktické opuštění pojmu „vzor</w:t>
      </w:r>
      <w:r w:rsidRPr="002746E2">
        <w:t>u</w:t>
      </w:r>
      <w:r w:rsidR="00632751" w:rsidRPr="002746E2">
        <w:t>“ formulářového podání</w:t>
      </w:r>
      <w:r w:rsidRPr="002746E2">
        <w:t xml:space="preserve"> v rámci normativního textu vyhlášek</w:t>
      </w:r>
      <w:r w:rsidR="00632751" w:rsidRPr="002746E2">
        <w:t xml:space="preserve"> s tím, že </w:t>
      </w:r>
      <w:r w:rsidRPr="002746E2">
        <w:t xml:space="preserve">obsah </w:t>
      </w:r>
      <w:r w:rsidR="00632751" w:rsidRPr="002746E2">
        <w:t xml:space="preserve">příloh vyhlášek </w:t>
      </w:r>
      <w:r w:rsidRPr="002746E2">
        <w:t xml:space="preserve">bude </w:t>
      </w:r>
      <w:r w:rsidR="00632751" w:rsidRPr="002746E2">
        <w:t xml:space="preserve">do budoucna </w:t>
      </w:r>
      <w:r w:rsidRPr="002746E2">
        <w:t xml:space="preserve">označován jako </w:t>
      </w:r>
      <w:r w:rsidR="00632751" w:rsidRPr="002746E2">
        <w:t>„obsahov</w:t>
      </w:r>
      <w:r w:rsidRPr="002746E2">
        <w:t>á</w:t>
      </w:r>
      <w:r w:rsidR="00632751" w:rsidRPr="002746E2">
        <w:t xml:space="preserve"> </w:t>
      </w:r>
      <w:r w:rsidR="00A1047F" w:rsidRPr="002746E2">
        <w:t>struktura</w:t>
      </w:r>
      <w:r w:rsidR="00632751" w:rsidRPr="002746E2">
        <w:t>“</w:t>
      </w:r>
      <w:r w:rsidRPr="002746E2">
        <w:t xml:space="preserve"> formulářů</w:t>
      </w:r>
      <w:r w:rsidR="00632751" w:rsidRPr="002746E2">
        <w:t>.</w:t>
      </w:r>
      <w:r w:rsidRPr="002746E2">
        <w:t xml:space="preserve"> V souladu se zákonem je pojem obsahové struktury významově nadřazen pojmu vzor, kdy vzor je pouze jedním z možných způsobů vyjádření obsahové struktury. S ohledem </w:t>
      </w:r>
      <w:r w:rsidR="00B56D14">
        <w:t xml:space="preserve">na striktně elektronickou podobu formulářových podání k dorovnávacím daním a </w:t>
      </w:r>
      <w:r w:rsidRPr="002746E2">
        <w:t>na různou míru zjednodušení jednotlivých nových příloh formulářových vyhlášek, které ne vždy mus</w:t>
      </w:r>
      <w:r w:rsidR="00A1047F" w:rsidRPr="002746E2">
        <w:t>ej</w:t>
      </w:r>
      <w:r w:rsidRPr="002746E2">
        <w:t xml:space="preserve">í mít povahu vzoru </w:t>
      </w:r>
      <w:r w:rsidRPr="002746E2">
        <w:rPr>
          <w:i/>
        </w:rPr>
        <w:t>stricto sensu</w:t>
      </w:r>
      <w:r w:rsidRPr="002746E2">
        <w:t xml:space="preserve">, je do budoucna vhodnější používat obecnější pojem obsahové struktury. </w:t>
      </w:r>
    </w:p>
    <w:p w14:paraId="5FEE61B5" w14:textId="77777777" w:rsidR="003C77F8" w:rsidRPr="009C4E06" w:rsidRDefault="003C77F8" w:rsidP="00F2560A">
      <w:pPr>
        <w:pStyle w:val="Nadpis2"/>
        <w:keepNext w:val="0"/>
        <w:widowControl w:val="0"/>
        <w:numPr>
          <w:ilvl w:val="0"/>
          <w:numId w:val="1"/>
        </w:numPr>
        <w:shd w:val="clear" w:color="auto" w:fill="FFFFFF"/>
        <w:spacing w:before="0"/>
        <w:ind w:hanging="720"/>
        <w:jc w:val="both"/>
        <w:rPr>
          <w:sz w:val="24"/>
          <w:szCs w:val="24"/>
        </w:rPr>
      </w:pPr>
      <w:r w:rsidRPr="009C4E06">
        <w:rPr>
          <w:sz w:val="24"/>
          <w:szCs w:val="24"/>
        </w:rPr>
        <w:t xml:space="preserve">Zhodnocení souladu navrhované právní úpravy se zákonem, </w:t>
      </w:r>
      <w:r w:rsidR="00284AB5" w:rsidRPr="009C4E06">
        <w:rPr>
          <w:sz w:val="24"/>
          <w:szCs w:val="24"/>
        </w:rPr>
        <w:t>k </w:t>
      </w:r>
      <w:r w:rsidRPr="009C4E06">
        <w:rPr>
          <w:sz w:val="24"/>
          <w:szCs w:val="24"/>
        </w:rPr>
        <w:t xml:space="preserve">jehož provedení je navržena, </w:t>
      </w:r>
      <w:r w:rsidR="00850C19" w:rsidRPr="009C4E06">
        <w:rPr>
          <w:sz w:val="24"/>
          <w:szCs w:val="24"/>
        </w:rPr>
        <w:t xml:space="preserve">včetně souladu se zákonným zmocněním </w:t>
      </w:r>
      <w:r w:rsidR="00284AB5" w:rsidRPr="009C4E06">
        <w:rPr>
          <w:sz w:val="24"/>
          <w:szCs w:val="24"/>
        </w:rPr>
        <w:t>k </w:t>
      </w:r>
      <w:r w:rsidR="00850C19" w:rsidRPr="009C4E06">
        <w:rPr>
          <w:sz w:val="24"/>
          <w:szCs w:val="24"/>
        </w:rPr>
        <w:t>jejímu vydání</w:t>
      </w:r>
    </w:p>
    <w:p w14:paraId="6A6FFE8D" w14:textId="3B06F061" w:rsidR="003F0D8A" w:rsidRDefault="003F0D8A" w:rsidP="00F2560A">
      <w:pPr>
        <w:widowControl w:val="0"/>
        <w:spacing w:after="120"/>
        <w:jc w:val="both"/>
      </w:pPr>
      <w:r w:rsidRPr="002746E2">
        <w:t xml:space="preserve">Navrhovaná právní úprava je předkládána na základě zmocnění v § 72 odst. 4 a 5 daňového řádu </w:t>
      </w:r>
      <w:r w:rsidR="00CE2858" w:rsidRPr="002746E2">
        <w:t xml:space="preserve">ve znění celnického balíčku, a to </w:t>
      </w:r>
      <w:r w:rsidRPr="002746E2">
        <w:t xml:space="preserve">k vydání vyhlášky, která stanoví </w:t>
      </w:r>
      <w:r w:rsidR="00CE2858" w:rsidRPr="002746E2">
        <w:t xml:space="preserve">pro jednotlivé druhy daní obsahovou strukturu formulářových podání, a to prostřednictvím stanovení </w:t>
      </w:r>
      <w:r w:rsidR="004349F9" w:rsidRPr="002746E2">
        <w:t>uspořádání obecných náležitostí a požadovaných údajů a</w:t>
      </w:r>
      <w:r w:rsidR="00055A2E" w:rsidRPr="002746E2">
        <w:t> </w:t>
      </w:r>
      <w:r w:rsidR="004349F9" w:rsidRPr="002746E2">
        <w:t>podrobnosti obecných náležitostí tohoto podání</w:t>
      </w:r>
      <w:r w:rsidRPr="002746E2">
        <w:t>, které lze požadovat ve formulářovém podání, resp. vzor formulářového podání</w:t>
      </w:r>
      <w:r w:rsidR="00AC0D1F">
        <w:t>, ve spojení s §</w:t>
      </w:r>
      <w:r w:rsidR="00F34652">
        <w:t> </w:t>
      </w:r>
      <w:r w:rsidR="00AC0D1F">
        <w:t>129 odst. 3 a §</w:t>
      </w:r>
      <w:r w:rsidR="00F34652">
        <w:t> </w:t>
      </w:r>
      <w:r w:rsidR="00AC0D1F">
        <w:t>132 zákona o dorovnávacích daních.</w:t>
      </w:r>
      <w:r w:rsidRPr="002746E2">
        <w:t xml:space="preserve"> Ve vztahu k</w:t>
      </w:r>
      <w:r w:rsidR="00CE2858" w:rsidRPr="002746E2">
        <w:t> </w:t>
      </w:r>
      <w:r w:rsidRPr="002746E2">
        <w:t>údajům podle § 72 odst. 3 daňového řádu je vydání vyhlášky podle zákona obligatorní.</w:t>
      </w:r>
      <w:r w:rsidR="00145AAB" w:rsidRPr="002746E2">
        <w:t xml:space="preserve"> Naopak fakultativním obsahem vyhlášky je stanovení formátu elektronické varianty formulářových podání.</w:t>
      </w:r>
      <w:r w:rsidRPr="002746E2">
        <w:t xml:space="preserve"> </w:t>
      </w:r>
    </w:p>
    <w:p w14:paraId="721EBC89" w14:textId="14408764" w:rsidR="004334D1" w:rsidRDefault="004334D1" w:rsidP="004334D1">
      <w:pPr>
        <w:widowControl w:val="0"/>
        <w:spacing w:after="120"/>
        <w:jc w:val="both"/>
      </w:pPr>
      <w:r>
        <w:t>Navrhovaná právní úprava taktéž plně respektuje zmocnění uvedené v § 15zy zákona č</w:t>
      </w:r>
      <w:r w:rsidRPr="004334D1">
        <w:t>.</w:t>
      </w:r>
      <w:r>
        <w:t> </w:t>
      </w:r>
      <w:r w:rsidRPr="004334D1">
        <w:t>164/2013 Sb., o mezinárodní spolupráci při správě daní</w:t>
      </w:r>
      <w:r>
        <w:t>, podle něhož má být vyhláškou vydanou ministerstvem financí stanoveno, v jakém rozsahu se předávají informace získané od</w:t>
      </w:r>
      <w:r w:rsidR="00AC0D1F">
        <w:t> </w:t>
      </w:r>
      <w:r>
        <w:t>správce daně kontaktnímu místu zúčastněného státu Ústředním kontaktním místem.</w:t>
      </w:r>
    </w:p>
    <w:p w14:paraId="493A65C3" w14:textId="66B63076" w:rsidR="00055A2E" w:rsidRPr="002746E2" w:rsidRDefault="009D0364" w:rsidP="00F2560A">
      <w:pPr>
        <w:widowControl w:val="0"/>
        <w:spacing w:after="120"/>
        <w:jc w:val="both"/>
        <w:rPr>
          <w:bCs/>
        </w:rPr>
      </w:pPr>
      <w:r w:rsidRPr="002746E2">
        <w:t xml:space="preserve">Navrhovaná právní úprava </w:t>
      </w:r>
      <w:r w:rsidR="00121552" w:rsidRPr="002746E2">
        <w:t>je rovněž v </w:t>
      </w:r>
      <w:r w:rsidR="00A1047F" w:rsidRPr="002746E2">
        <w:t xml:space="preserve">souladu </w:t>
      </w:r>
      <w:r w:rsidR="00121552" w:rsidRPr="002746E2">
        <w:t xml:space="preserve">s ústavním pořádkem České </w:t>
      </w:r>
      <w:r w:rsidR="003F0D8A" w:rsidRPr="002746E2">
        <w:t>republiky, resp.</w:t>
      </w:r>
      <w:r w:rsidR="00055A2E" w:rsidRPr="002746E2">
        <w:t> </w:t>
      </w:r>
      <w:r w:rsidR="003F0D8A" w:rsidRPr="002746E2">
        <w:t xml:space="preserve">představuje součást právní úpravy formulářových podání, která jako celek tento institut uvedla do souladu s nálezem Ústavního soudu Pl. ÚS 19/17 </w:t>
      </w:r>
      <w:r w:rsidR="00055A2E" w:rsidRPr="002746E2">
        <w:rPr>
          <w:bCs/>
        </w:rPr>
        <w:t xml:space="preserve">ze dne 12. listopadu 2019, kterým Ústavní soud zrušil dosavadní § 72 odst. 1 daňového řádu k 31. prosinci 2020, </w:t>
      </w:r>
      <w:r w:rsidR="003F0D8A" w:rsidRPr="002746E2">
        <w:t>a učinila jej ústavně konformním.</w:t>
      </w:r>
    </w:p>
    <w:p w14:paraId="5C03FD54" w14:textId="219443F6" w:rsidR="00121552" w:rsidRPr="009C4E06" w:rsidRDefault="003F0D8A" w:rsidP="00F2560A">
      <w:pPr>
        <w:widowControl w:val="0"/>
        <w:spacing w:after="120"/>
        <w:jc w:val="both"/>
      </w:pPr>
      <w:r w:rsidRPr="002746E2">
        <w:t>Vyhláškou upravená problematika není upravena mezinárodními smlouvami, kterými je Česká republika vázána a které byly vyhlášeny ve Sbírce zákonů</w:t>
      </w:r>
      <w:r w:rsidR="00F96B2A" w:rsidRPr="002746E2">
        <w:t xml:space="preserve"> a mezinárodních smluv</w:t>
      </w:r>
      <w:r w:rsidRPr="002746E2">
        <w:t xml:space="preserve">, popřípadě ve Sbírce </w:t>
      </w:r>
      <w:r w:rsidR="00F96B2A" w:rsidRPr="002746E2">
        <w:t xml:space="preserve">zákonů nebo Sbírce </w:t>
      </w:r>
      <w:r w:rsidRPr="002746E2">
        <w:t>mezinárodních smluv</w:t>
      </w:r>
      <w:r w:rsidR="00121552" w:rsidRPr="002746E2">
        <w:t>.</w:t>
      </w:r>
    </w:p>
    <w:p w14:paraId="0D89943A" w14:textId="506795D1" w:rsidR="00850C19" w:rsidRPr="009C4E06" w:rsidRDefault="00850C19" w:rsidP="007A39D6">
      <w:pPr>
        <w:pStyle w:val="Nadpis2"/>
        <w:keepLines/>
        <w:numPr>
          <w:ilvl w:val="0"/>
          <w:numId w:val="1"/>
        </w:numPr>
        <w:shd w:val="clear" w:color="auto" w:fill="FFFFFF"/>
        <w:spacing w:before="0"/>
        <w:ind w:hanging="720"/>
        <w:jc w:val="both"/>
        <w:rPr>
          <w:sz w:val="24"/>
          <w:szCs w:val="24"/>
        </w:rPr>
      </w:pPr>
      <w:r w:rsidRPr="009C4E06">
        <w:rPr>
          <w:sz w:val="24"/>
          <w:szCs w:val="24"/>
        </w:rPr>
        <w:lastRenderedPageBreak/>
        <w:t xml:space="preserve">Zhodnocení souladu navrhované právní úpravy </w:t>
      </w:r>
      <w:r w:rsidR="00284AB5" w:rsidRPr="009C4E06">
        <w:rPr>
          <w:sz w:val="24"/>
          <w:szCs w:val="24"/>
        </w:rPr>
        <w:t>s </w:t>
      </w:r>
      <w:r w:rsidRPr="009C4E06">
        <w:rPr>
          <w:sz w:val="24"/>
          <w:szCs w:val="24"/>
        </w:rPr>
        <w:t xml:space="preserve">předpisy Evropské unie, judikaturou soudních orgánů Evropské unie </w:t>
      </w:r>
      <w:r w:rsidR="00815582">
        <w:rPr>
          <w:sz w:val="24"/>
          <w:szCs w:val="24"/>
        </w:rPr>
        <w:t>a</w:t>
      </w:r>
      <w:r w:rsidRPr="009C4E06">
        <w:rPr>
          <w:sz w:val="24"/>
          <w:szCs w:val="24"/>
        </w:rPr>
        <w:t xml:space="preserve"> obecnými právními zásadami práva Evropské unie</w:t>
      </w:r>
    </w:p>
    <w:p w14:paraId="52AFEF2B" w14:textId="6613CD04" w:rsidR="007962C4" w:rsidRPr="007962C4" w:rsidRDefault="007962C4" w:rsidP="002746E2">
      <w:pPr>
        <w:pStyle w:val="Nadpis2"/>
        <w:keepLines/>
        <w:shd w:val="clear" w:color="auto" w:fill="FFFFFF"/>
        <w:jc w:val="both"/>
        <w:rPr>
          <w:b w:val="0"/>
          <w:bCs w:val="0"/>
          <w:iCs w:val="0"/>
          <w:sz w:val="24"/>
          <w:szCs w:val="24"/>
        </w:rPr>
      </w:pPr>
      <w:r w:rsidRPr="007962C4">
        <w:rPr>
          <w:b w:val="0"/>
          <w:bCs w:val="0"/>
          <w:iCs w:val="0"/>
          <w:sz w:val="24"/>
          <w:szCs w:val="24"/>
        </w:rPr>
        <w:t>Navrhovaná právní úprava zajišťuje provedení povinností vyplývajících z právních předpisů Evropské unie, konkrétně ze Směrnice Rady (EU) 2022/2523 ze dne 14. prosince 2022 o</w:t>
      </w:r>
      <w:r w:rsidR="001A5363">
        <w:rPr>
          <w:b w:val="0"/>
          <w:bCs w:val="0"/>
          <w:iCs w:val="0"/>
          <w:sz w:val="24"/>
          <w:szCs w:val="24"/>
        </w:rPr>
        <w:t> </w:t>
      </w:r>
      <w:r w:rsidRPr="007962C4">
        <w:rPr>
          <w:b w:val="0"/>
          <w:bCs w:val="0"/>
          <w:iCs w:val="0"/>
          <w:sz w:val="24"/>
          <w:szCs w:val="24"/>
        </w:rPr>
        <w:t>zajištění globální minimální úrovně zdanění nadnárodních skupin podniků a velkých vnitrostátních skupin v Unii. Návrh vyhlášky věcně navazuje na úpravu obsaženou v části článku 44 odst. 5 a 6 uvedené směrnice, které stanoví povinnost členských států zavést odpovídající mechanismy ohledně podávání informací a daňových přiznání v souvislosti s</w:t>
      </w:r>
      <w:r w:rsidR="001A5363">
        <w:rPr>
          <w:b w:val="0"/>
          <w:bCs w:val="0"/>
          <w:iCs w:val="0"/>
          <w:sz w:val="24"/>
          <w:szCs w:val="24"/>
        </w:rPr>
        <w:t> </w:t>
      </w:r>
      <w:r w:rsidRPr="007962C4">
        <w:rPr>
          <w:b w:val="0"/>
          <w:bCs w:val="0"/>
          <w:iCs w:val="0"/>
          <w:sz w:val="24"/>
          <w:szCs w:val="24"/>
        </w:rPr>
        <w:t xml:space="preserve">dorovnávacími daněmi. Současně dochází k transpozici směrnice </w:t>
      </w:r>
      <w:r w:rsidR="00FE071D">
        <w:rPr>
          <w:b w:val="0"/>
          <w:bCs w:val="0"/>
          <w:iCs w:val="0"/>
          <w:sz w:val="24"/>
          <w:szCs w:val="24"/>
        </w:rPr>
        <w:t>DAC9</w:t>
      </w:r>
      <w:r w:rsidRPr="007962C4">
        <w:rPr>
          <w:b w:val="0"/>
          <w:bCs w:val="0"/>
          <w:iCs w:val="0"/>
          <w:sz w:val="24"/>
          <w:szCs w:val="24"/>
        </w:rPr>
        <w:t>, která doplňuje směrnici o správní spolupráci v oblasti daní a která rovněž upravuje výměnu informací v rámci GloBE režimu.</w:t>
      </w:r>
    </w:p>
    <w:p w14:paraId="0EE28F6F" w14:textId="368E5669" w:rsidR="004334D1" w:rsidRPr="002746E2" w:rsidRDefault="007962C4" w:rsidP="00F2560A">
      <w:pPr>
        <w:widowControl w:val="0"/>
        <w:spacing w:after="120"/>
        <w:jc w:val="both"/>
        <w:rPr>
          <w:rFonts w:eastAsia="Calibri"/>
          <w:lang w:eastAsia="en-US"/>
        </w:rPr>
      </w:pPr>
      <w:r w:rsidRPr="007962C4">
        <w:t>Navrhovaná vyhláška upravuje obsahové náležitosti formulářových podání (daňového přiznání a informačního přehledu), čímž přispívá k</w:t>
      </w:r>
      <w:r w:rsidR="001A5363">
        <w:t> </w:t>
      </w:r>
      <w:r w:rsidRPr="007962C4">
        <w:t>naplnění</w:t>
      </w:r>
      <w:r w:rsidR="001A5363">
        <w:t xml:space="preserve"> konkrétních </w:t>
      </w:r>
      <w:r w:rsidRPr="007962C4">
        <w:t>požadavků</w:t>
      </w:r>
      <w:r w:rsidR="001A5363">
        <w:t xml:space="preserve"> vyplývajících z práva Evropské unie, pročež je navržená právní úprava v souladu</w:t>
      </w:r>
      <w:r w:rsidRPr="007962C4">
        <w:t xml:space="preserve"> s právem </w:t>
      </w:r>
      <w:r w:rsidR="001A5363">
        <w:t>Evropské unie</w:t>
      </w:r>
      <w:r w:rsidRPr="007962C4">
        <w:t xml:space="preserve">, jehož zásady (zejména právní jistota, efektivní správa daní a ochrana osobních údajů) </w:t>
      </w:r>
      <w:r w:rsidR="001A5363">
        <w:t>byly při přípravě tohoto návrhu plně</w:t>
      </w:r>
      <w:r w:rsidRPr="007962C4">
        <w:t xml:space="preserve"> zohledněny.</w:t>
      </w:r>
    </w:p>
    <w:p w14:paraId="7E3F44B3" w14:textId="5000CCD1" w:rsidR="00534B8E" w:rsidRPr="008A73F9" w:rsidRDefault="00A11C61" w:rsidP="002746E2">
      <w:pPr>
        <w:widowControl w:val="0"/>
        <w:spacing w:after="120"/>
        <w:jc w:val="both"/>
      </w:pPr>
      <w:r w:rsidRPr="002746E2">
        <w:rPr>
          <w:rFonts w:eastAsia="Calibri"/>
          <w:lang w:eastAsia="en-US"/>
        </w:rPr>
        <w:t xml:space="preserve">Navržená úprava </w:t>
      </w:r>
      <w:r w:rsidR="001A5363">
        <w:rPr>
          <w:rFonts w:eastAsia="Calibri"/>
          <w:lang w:eastAsia="en-US"/>
        </w:rPr>
        <w:t xml:space="preserve">rovněž </w:t>
      </w:r>
      <w:r w:rsidRPr="002746E2">
        <w:rPr>
          <w:rFonts w:eastAsia="Calibri"/>
          <w:lang w:eastAsia="en-US"/>
        </w:rPr>
        <w:t xml:space="preserve">není v rozporu </w:t>
      </w:r>
      <w:r w:rsidR="001A5363" w:rsidRPr="007962C4">
        <w:t xml:space="preserve">s judikaturou Soudního dvora </w:t>
      </w:r>
      <w:r w:rsidR="001A5363">
        <w:t>Evropské unie, s</w:t>
      </w:r>
      <w:r w:rsidRPr="002746E2">
        <w:rPr>
          <w:rFonts w:eastAsia="Calibri"/>
          <w:lang w:eastAsia="en-US"/>
        </w:rPr>
        <w:t> Úmluvou o ochraně osob se zřetelem na automatizované zpracování osobních dat (</w:t>
      </w:r>
      <w:r w:rsidR="00F96B2A" w:rsidRPr="002746E2">
        <w:rPr>
          <w:rFonts w:eastAsia="Calibri"/>
          <w:lang w:eastAsia="en-US"/>
        </w:rPr>
        <w:t xml:space="preserve">vyhlášenou </w:t>
      </w:r>
      <w:r w:rsidRPr="002746E2">
        <w:rPr>
          <w:rFonts w:eastAsia="Calibri"/>
          <w:lang w:eastAsia="en-US"/>
        </w:rPr>
        <w:t>pod č. 115/2001 Sb. m. s</w:t>
      </w:r>
      <w:r w:rsidR="00FC6381" w:rsidRPr="002746E2">
        <w:rPr>
          <w:rFonts w:eastAsia="Calibri"/>
          <w:lang w:eastAsia="en-US"/>
        </w:rPr>
        <w:t>.)</w:t>
      </w:r>
      <w:r w:rsidR="00FC6381">
        <w:rPr>
          <w:rFonts w:eastAsia="Calibri"/>
          <w:lang w:eastAsia="en-US"/>
        </w:rPr>
        <w:t xml:space="preserve"> ani </w:t>
      </w:r>
      <w:r w:rsidR="00F96B2A" w:rsidRPr="002746E2">
        <w:rPr>
          <w:rFonts w:eastAsia="Calibri"/>
          <w:lang w:eastAsia="en-US"/>
        </w:rPr>
        <w:t>s </w:t>
      </w:r>
      <w:r w:rsidRPr="002746E2">
        <w:rPr>
          <w:rFonts w:eastAsia="Calibri"/>
          <w:lang w:eastAsia="en-US"/>
        </w:rPr>
        <w:t xml:space="preserve">nařízením Evropského parlamentu a Rady (EU) 2016/679 </w:t>
      </w:r>
      <w:r w:rsidR="00FC6381" w:rsidRPr="002746E2">
        <w:rPr>
          <w:rFonts w:eastAsia="Calibri"/>
          <w:lang w:eastAsia="en-US"/>
        </w:rPr>
        <w:t>ze</w:t>
      </w:r>
      <w:r w:rsidR="00FC6381">
        <w:rPr>
          <w:rFonts w:eastAsia="Calibri"/>
          <w:lang w:eastAsia="en-US"/>
        </w:rPr>
        <w:t> </w:t>
      </w:r>
      <w:r w:rsidRPr="002746E2">
        <w:rPr>
          <w:rFonts w:eastAsia="Calibri"/>
          <w:lang w:eastAsia="en-US"/>
        </w:rPr>
        <w:t>dne 27. dubna 2016 o ochraně fyzických osob v souvislosti se zpracováním osobních údajů a o volném pohybu těchto údajů a o zrušení směrnice 95/46/ES (obecné nařízení o ochraně osobních údajů</w:t>
      </w:r>
      <w:r w:rsidR="00F96B2A" w:rsidRPr="002746E2">
        <w:rPr>
          <w:rFonts w:eastAsia="Calibri"/>
          <w:lang w:eastAsia="en-US"/>
        </w:rPr>
        <w:t>, GDPR</w:t>
      </w:r>
      <w:r w:rsidRPr="002746E2">
        <w:rPr>
          <w:rFonts w:eastAsia="Calibri"/>
          <w:lang w:eastAsia="en-US"/>
        </w:rPr>
        <w:t>).</w:t>
      </w:r>
    </w:p>
    <w:p w14:paraId="48DDBADF" w14:textId="55BB7ED1" w:rsidR="003C77F8" w:rsidRDefault="214732F7" w:rsidP="2D6C39D6">
      <w:pPr>
        <w:pStyle w:val="Nadpis2"/>
        <w:keepNext w:val="0"/>
        <w:widowControl w:val="0"/>
        <w:numPr>
          <w:ilvl w:val="0"/>
          <w:numId w:val="1"/>
        </w:numPr>
        <w:shd w:val="clear" w:color="auto" w:fill="FFFFFF" w:themeFill="background1"/>
        <w:spacing w:before="0"/>
        <w:ind w:hanging="720"/>
        <w:jc w:val="both"/>
        <w:rPr>
          <w:sz w:val="24"/>
          <w:szCs w:val="24"/>
        </w:rPr>
      </w:pPr>
      <w:r w:rsidRPr="2D6C39D6">
        <w:rPr>
          <w:sz w:val="24"/>
          <w:szCs w:val="24"/>
        </w:rPr>
        <w:t xml:space="preserve">Předpokládaný hospodářský </w:t>
      </w:r>
      <w:r w:rsidR="17F9C882" w:rsidRPr="2D6C39D6">
        <w:rPr>
          <w:sz w:val="24"/>
          <w:szCs w:val="24"/>
        </w:rPr>
        <w:t>a </w:t>
      </w:r>
      <w:r w:rsidRPr="2D6C39D6">
        <w:rPr>
          <w:sz w:val="24"/>
          <w:szCs w:val="24"/>
        </w:rPr>
        <w:t>finanční do</w:t>
      </w:r>
      <w:r w:rsidR="21310257" w:rsidRPr="2D6C39D6">
        <w:rPr>
          <w:sz w:val="24"/>
          <w:szCs w:val="24"/>
        </w:rPr>
        <w:t>p</w:t>
      </w:r>
      <w:r w:rsidRPr="2D6C39D6">
        <w:rPr>
          <w:sz w:val="24"/>
          <w:szCs w:val="24"/>
        </w:rPr>
        <w:t>a</w:t>
      </w:r>
      <w:r w:rsidR="21310257" w:rsidRPr="2D6C39D6">
        <w:rPr>
          <w:sz w:val="24"/>
          <w:szCs w:val="24"/>
        </w:rPr>
        <w:t>d</w:t>
      </w:r>
      <w:r w:rsidRPr="2D6C39D6">
        <w:rPr>
          <w:sz w:val="24"/>
          <w:szCs w:val="24"/>
        </w:rPr>
        <w:t xml:space="preserve"> navrhované právní úpravy</w:t>
      </w:r>
      <w:r w:rsidR="0DD181A8" w:rsidRPr="2D6C39D6">
        <w:rPr>
          <w:sz w:val="24"/>
          <w:szCs w:val="24"/>
        </w:rPr>
        <w:t xml:space="preserve"> na státní rozpočet, ostatní veřejné rozpočty</w:t>
      </w:r>
      <w:r w:rsidR="7C5AD43A" w:rsidRPr="2D6C39D6">
        <w:rPr>
          <w:sz w:val="24"/>
          <w:szCs w:val="24"/>
        </w:rPr>
        <w:t xml:space="preserve"> </w:t>
      </w:r>
      <w:r w:rsidR="3588E493" w:rsidRPr="2D6C39D6">
        <w:rPr>
          <w:sz w:val="24"/>
          <w:szCs w:val="24"/>
        </w:rPr>
        <w:t>a </w:t>
      </w:r>
      <w:r w:rsidR="0DD181A8" w:rsidRPr="2D6C39D6">
        <w:rPr>
          <w:sz w:val="24"/>
          <w:szCs w:val="24"/>
        </w:rPr>
        <w:t>na podnikatelské prostředí České republiky</w:t>
      </w:r>
    </w:p>
    <w:p w14:paraId="14FCF451" w14:textId="7BF953EE" w:rsidR="00FE071D" w:rsidRPr="00FE071D" w:rsidRDefault="00FE071D" w:rsidP="00FE071D">
      <w:r w:rsidRPr="00FE071D">
        <w:t>Samotný návrh vyhlášky žádné nové výdaje nevyvolává, veškeré povinnosti vyplývají již ze zákonné právní úpravy (zákon o dorovnávacích daních, zákon o mezinárodní spolupráci při správě daní).</w:t>
      </w:r>
    </w:p>
    <w:p w14:paraId="71EDA7A7" w14:textId="18010665" w:rsidR="47DE3A70" w:rsidRDefault="47DE3A70" w:rsidP="002746E2">
      <w:pPr>
        <w:spacing w:before="120" w:after="120"/>
        <w:jc w:val="both"/>
        <w:rPr>
          <w:lang w:val="cs"/>
        </w:rPr>
      </w:pPr>
      <w:r w:rsidRPr="015A8208">
        <w:rPr>
          <w:lang w:val="cs"/>
        </w:rPr>
        <w:t xml:space="preserve">Nárůst výdajů z veřejných rozpočtů týkajících se implementace směrnice </w:t>
      </w:r>
      <w:r w:rsidR="00FE071D">
        <w:rPr>
          <w:lang w:val="cs"/>
        </w:rPr>
        <w:t>DAC9</w:t>
      </w:r>
      <w:r w:rsidR="2706EE49" w:rsidRPr="015A8208">
        <w:rPr>
          <w:lang w:val="cs"/>
        </w:rPr>
        <w:t xml:space="preserve"> a </w:t>
      </w:r>
      <w:r w:rsidR="176F2840" w:rsidRPr="015A8208">
        <w:rPr>
          <w:lang w:val="cs"/>
        </w:rPr>
        <w:t>plnění informačních povinností vyplývajících ze zákona o dorovnávacích daní (daňové přiznání)</w:t>
      </w:r>
      <w:r w:rsidRPr="015A8208">
        <w:rPr>
          <w:lang w:val="cs"/>
        </w:rPr>
        <w:t xml:space="preserve"> bude spojen s jednorázovými a následně se opakujícími náklady na vývoj a provoz informačních a komunikačních technologií, které vzniknou správci daně v souvislosti se zajištěním realizace širšího rozsahu automatické výměny informací</w:t>
      </w:r>
      <w:r w:rsidR="6837D596" w:rsidRPr="015A8208">
        <w:rPr>
          <w:lang w:val="cs"/>
        </w:rPr>
        <w:t xml:space="preserve"> a zajištěním</w:t>
      </w:r>
      <w:r w:rsidR="653CC3EB" w:rsidRPr="015A8208">
        <w:rPr>
          <w:lang w:val="cs"/>
        </w:rPr>
        <w:t xml:space="preserve"> </w:t>
      </w:r>
      <w:r w:rsidR="6837D596" w:rsidRPr="015A8208">
        <w:rPr>
          <w:lang w:val="cs"/>
        </w:rPr>
        <w:t xml:space="preserve">požadavků na </w:t>
      </w:r>
      <w:r w:rsidR="16EB6307" w:rsidRPr="015A8208">
        <w:rPr>
          <w:lang w:val="cs"/>
        </w:rPr>
        <w:t>získávání údajů z daňových přiznání</w:t>
      </w:r>
      <w:r w:rsidRPr="015A8208">
        <w:rPr>
          <w:lang w:val="cs"/>
        </w:rPr>
        <w:t xml:space="preserve">. </w:t>
      </w:r>
    </w:p>
    <w:p w14:paraId="789DC639" w14:textId="34C4AA5F" w:rsidR="47DE3A70" w:rsidRDefault="47DE3A70" w:rsidP="002746E2">
      <w:pPr>
        <w:spacing w:before="120" w:after="120"/>
        <w:jc w:val="both"/>
        <w:rPr>
          <w:lang w:val="cs"/>
        </w:rPr>
      </w:pPr>
      <w:r w:rsidRPr="015A8208">
        <w:rPr>
          <w:lang w:val="cs"/>
        </w:rPr>
        <w:t xml:space="preserve">Nové povinnosti týkající se vybírání a následného sdílení Informačního přehledu k dorovnávací dani v rámci automatické výměny informací podle směrnice </w:t>
      </w:r>
      <w:r w:rsidR="00FE071D">
        <w:rPr>
          <w:lang w:val="cs"/>
        </w:rPr>
        <w:t>DAC9</w:t>
      </w:r>
      <w:r w:rsidR="7706E76F" w:rsidRPr="015A8208">
        <w:rPr>
          <w:lang w:val="cs"/>
        </w:rPr>
        <w:t>, jakož i požadavek na po</w:t>
      </w:r>
      <w:r w:rsidR="00B2372A">
        <w:rPr>
          <w:lang w:val="cs"/>
        </w:rPr>
        <w:t>d</w:t>
      </w:r>
      <w:r w:rsidR="7706E76F" w:rsidRPr="015A8208">
        <w:rPr>
          <w:lang w:val="cs"/>
        </w:rPr>
        <w:t>ávání daňových přiznání,</w:t>
      </w:r>
      <w:r w:rsidRPr="015A8208">
        <w:rPr>
          <w:lang w:val="cs"/>
        </w:rPr>
        <w:t xml:space="preserve"> vedou nejen k nárůstu objemu zpracovávaných informací, ale i ke zvýšení výdajů na vývoj a provoz informačních a komunikačních technologií správce daně a zvýšení nároků v personální oblasti. Dle současných odhadů by se měl tento nárůst výdajů na vývoj a provoz informačních a komunikačních technologií správce daně pohybovat </w:t>
      </w:r>
      <w:r w:rsidR="5DA25F50" w:rsidRPr="015A8208">
        <w:rPr>
          <w:lang w:val="cs"/>
        </w:rPr>
        <w:t xml:space="preserve">odhadem </w:t>
      </w:r>
      <w:r w:rsidRPr="015A8208">
        <w:rPr>
          <w:lang w:val="cs"/>
        </w:rPr>
        <w:t>v rozmezí 1</w:t>
      </w:r>
      <w:r w:rsidR="1E5354B2" w:rsidRPr="015A8208">
        <w:rPr>
          <w:lang w:val="cs"/>
        </w:rPr>
        <w:t>5</w:t>
      </w:r>
      <w:r w:rsidRPr="015A8208">
        <w:rPr>
          <w:lang w:val="cs"/>
        </w:rPr>
        <w:t xml:space="preserve">0 až </w:t>
      </w:r>
      <w:r w:rsidR="43A42E8F" w:rsidRPr="015A8208">
        <w:rPr>
          <w:lang w:val="cs"/>
        </w:rPr>
        <w:t>200</w:t>
      </w:r>
      <w:r w:rsidRPr="015A8208">
        <w:rPr>
          <w:lang w:val="cs"/>
        </w:rPr>
        <w:t xml:space="preserve"> mil. Kč</w:t>
      </w:r>
      <w:r w:rsidR="24B9878A" w:rsidRPr="015A8208">
        <w:rPr>
          <w:lang w:val="cs"/>
        </w:rPr>
        <w:t xml:space="preserve"> bez DPH</w:t>
      </w:r>
      <w:r w:rsidRPr="015A8208">
        <w:rPr>
          <w:lang w:val="cs"/>
        </w:rPr>
        <w:t xml:space="preserve">. </w:t>
      </w:r>
    </w:p>
    <w:p w14:paraId="6ACEF75B" w14:textId="5AD8E046" w:rsidR="47DE3A70" w:rsidRDefault="47DE3A70" w:rsidP="002746E2">
      <w:pPr>
        <w:spacing w:before="120" w:after="120"/>
        <w:jc w:val="both"/>
        <w:rPr>
          <w:lang w:val="cs"/>
        </w:rPr>
      </w:pPr>
      <w:r w:rsidRPr="2D6C39D6">
        <w:rPr>
          <w:lang w:val="cs"/>
        </w:rPr>
        <w:t xml:space="preserve">Vzhledem k tomu, že správci daně již nyní mají zkušenosti se zpracováváním a výměnou obdobných informací, které jim byly oznámeny, nebo které získali od orgánů jiného státu, např. ve vztahu k finančním účtům, by výdaje v personální oblasti neměly představovat významný nárůst. Je tedy předpokládáno, že veškeré výdaje i zvýšená potřeba v personální a platové </w:t>
      </w:r>
      <w:r w:rsidRPr="2D6C39D6">
        <w:rPr>
          <w:lang w:val="cs"/>
        </w:rPr>
        <w:lastRenderedPageBreak/>
        <w:t xml:space="preserve">oblasti budou pokryty v rámci schválených rozpočtových limitů a stanovených limitů počtu míst a objemu prostředků na platy dotčené rozpočtové kapitoly. </w:t>
      </w:r>
    </w:p>
    <w:p w14:paraId="53500E87" w14:textId="3237544C" w:rsidR="47DE3A70" w:rsidRDefault="47DE3A70" w:rsidP="002746E2">
      <w:pPr>
        <w:tabs>
          <w:tab w:val="left" w:pos="6660"/>
        </w:tabs>
        <w:spacing w:after="120"/>
        <w:jc w:val="both"/>
        <w:rPr>
          <w:lang w:val="cs"/>
        </w:rPr>
      </w:pPr>
      <w:r w:rsidRPr="015A8208">
        <w:rPr>
          <w:lang w:val="cs"/>
        </w:rPr>
        <w:t>Návrh vyhlášky upravující standardizovaný formát informačního přehledu zajišťuje jednotný způsob vykazování informací za všechny státy, v nichž působí skupina podniků, usnadňuje provádění automatické výměny informací o částech informačního přehledu, které se jednotlivých států týkají</w:t>
      </w:r>
      <w:r w:rsidR="00B2372A">
        <w:rPr>
          <w:lang w:val="cs"/>
        </w:rPr>
        <w:t>,</w:t>
      </w:r>
      <w:r w:rsidR="365C3332" w:rsidRPr="015A8208">
        <w:rPr>
          <w:lang w:val="cs"/>
        </w:rPr>
        <w:t xml:space="preserve"> a </w:t>
      </w:r>
      <w:r w:rsidR="574B7E24" w:rsidRPr="015A8208">
        <w:rPr>
          <w:lang w:val="cs"/>
        </w:rPr>
        <w:t>při splnění zákonných podmínek z</w:t>
      </w:r>
      <w:r w:rsidR="365C3332" w:rsidRPr="015A8208">
        <w:rPr>
          <w:lang w:val="cs"/>
        </w:rPr>
        <w:t xml:space="preserve">prošťuje </w:t>
      </w:r>
      <w:r w:rsidR="22EF38D5" w:rsidRPr="015A8208">
        <w:rPr>
          <w:lang w:val="cs"/>
        </w:rPr>
        <w:t>ostatní členy příslušné sk</w:t>
      </w:r>
      <w:r w:rsidR="645D862C" w:rsidRPr="015A8208">
        <w:rPr>
          <w:lang w:val="cs"/>
        </w:rPr>
        <w:t xml:space="preserve">upiny od podávání jednotlivých částí informačního přehled </w:t>
      </w:r>
      <w:r w:rsidR="46F859D9" w:rsidRPr="015A8208">
        <w:rPr>
          <w:lang w:val="cs"/>
        </w:rPr>
        <w:t xml:space="preserve">svému </w:t>
      </w:r>
      <w:r w:rsidR="645D862C" w:rsidRPr="015A8208">
        <w:rPr>
          <w:lang w:val="cs"/>
        </w:rPr>
        <w:t>místnímu správci daně</w:t>
      </w:r>
      <w:r w:rsidRPr="015A8208">
        <w:rPr>
          <w:lang w:val="cs"/>
        </w:rPr>
        <w:t>.</w:t>
      </w:r>
    </w:p>
    <w:p w14:paraId="22139262" w14:textId="276383DC" w:rsidR="00C02BA8" w:rsidRPr="003B4554" w:rsidRDefault="1E1E8F84" w:rsidP="015A8208">
      <w:pPr>
        <w:widowControl w:val="0"/>
        <w:tabs>
          <w:tab w:val="left" w:pos="6660"/>
        </w:tabs>
        <w:spacing w:after="120"/>
        <w:jc w:val="both"/>
      </w:pPr>
      <w:r w:rsidRPr="003B4554">
        <w:t>V souvislosti s bodem 5.7 Obecných zásad pro hodnocení dopadů regulace (RIA) se k této navrhované právní úpravě nezpracovává hodnocení dopadů regulace (RIA).</w:t>
      </w:r>
    </w:p>
    <w:p w14:paraId="4EC55421" w14:textId="5E765AD2" w:rsidR="009F408A" w:rsidRPr="009C4E06" w:rsidRDefault="009F408A" w:rsidP="00F2560A">
      <w:pPr>
        <w:pStyle w:val="Nadpis2"/>
        <w:keepNext w:val="0"/>
        <w:widowControl w:val="0"/>
        <w:numPr>
          <w:ilvl w:val="0"/>
          <w:numId w:val="1"/>
        </w:numPr>
        <w:shd w:val="clear" w:color="auto" w:fill="FFFFFF"/>
        <w:spacing w:before="0"/>
        <w:ind w:hanging="720"/>
        <w:jc w:val="both"/>
        <w:rPr>
          <w:sz w:val="24"/>
          <w:szCs w:val="24"/>
        </w:rPr>
      </w:pPr>
      <w:r w:rsidRPr="009C4E06">
        <w:rPr>
          <w:sz w:val="24"/>
          <w:szCs w:val="24"/>
        </w:rPr>
        <w:t>Zhodnocení sociálních dopadů, včetně dopadů na specifické skupiny obyvatel, zejména na osoby sociálně slabé, osoby se zdravotním postižením a národnostní menšiny,</w:t>
      </w:r>
      <w:r w:rsidRPr="009C4E06" w:rsidDel="00623956">
        <w:rPr>
          <w:sz w:val="24"/>
          <w:szCs w:val="24"/>
        </w:rPr>
        <w:t xml:space="preserve"> </w:t>
      </w:r>
      <w:r w:rsidRPr="009C4E06">
        <w:rPr>
          <w:sz w:val="24"/>
          <w:szCs w:val="24"/>
        </w:rPr>
        <w:t>dopadů na ochranu práv dětí a dopadů na životní prostředí</w:t>
      </w:r>
    </w:p>
    <w:p w14:paraId="0339475D" w14:textId="55FE420B" w:rsidR="009F408A" w:rsidRPr="002746E2" w:rsidRDefault="45F2F2E2" w:rsidP="2D6C39D6">
      <w:pPr>
        <w:widowControl w:val="0"/>
        <w:tabs>
          <w:tab w:val="left" w:pos="6660"/>
        </w:tabs>
        <w:spacing w:after="120"/>
        <w:jc w:val="both"/>
        <w:rPr>
          <w:color w:val="FFFFFF" w:themeColor="background1"/>
        </w:rPr>
      </w:pPr>
      <w:r w:rsidRPr="002746E2">
        <w:t>S realizací návrhu vyhlášky nebudou spojeny žádné samostatné sociální dopady, a to včetně dopadů na specifické skupiny obyvatel (např. osoby sociálně slabé, osoby se zdravotním postižením a národnostní menšiny), a nemá ani dopady na ochranu práv dětí a na životní prostředí.</w:t>
      </w:r>
    </w:p>
    <w:p w14:paraId="493BE37D" w14:textId="77777777" w:rsidR="00CE68F7" w:rsidRDefault="00CE68F7" w:rsidP="00F2560A">
      <w:pPr>
        <w:pStyle w:val="Nadpis2"/>
        <w:keepNext w:val="0"/>
        <w:widowControl w:val="0"/>
        <w:numPr>
          <w:ilvl w:val="0"/>
          <w:numId w:val="1"/>
        </w:numPr>
        <w:shd w:val="clear" w:color="auto" w:fill="FFFFFF"/>
        <w:spacing w:before="0"/>
        <w:ind w:hanging="720"/>
        <w:jc w:val="both"/>
        <w:rPr>
          <w:sz w:val="24"/>
          <w:szCs w:val="24"/>
        </w:rPr>
      </w:pPr>
      <w:r>
        <w:rPr>
          <w:sz w:val="24"/>
          <w:szCs w:val="24"/>
        </w:rPr>
        <w:t>Zhodnocení, zda návrhem není zakládána veřejná podpora</w:t>
      </w:r>
    </w:p>
    <w:p w14:paraId="199319BD" w14:textId="77777777" w:rsidR="00CE68F7" w:rsidRPr="009C4E06" w:rsidRDefault="00CE68F7" w:rsidP="00F2560A">
      <w:pPr>
        <w:widowControl w:val="0"/>
        <w:spacing w:after="120"/>
        <w:jc w:val="both"/>
        <w:rPr>
          <w:rFonts w:eastAsia="Calibri"/>
          <w:lang w:eastAsia="en-US"/>
        </w:rPr>
      </w:pPr>
      <w:r w:rsidRPr="009C4E06">
        <w:rPr>
          <w:rFonts w:eastAsia="Calibri"/>
          <w:lang w:eastAsia="en-US"/>
        </w:rPr>
        <w:t>Navrhovan</w:t>
      </w:r>
      <w:r>
        <w:rPr>
          <w:rFonts w:eastAsia="Calibri"/>
          <w:lang w:eastAsia="en-US"/>
        </w:rPr>
        <w:t>ou</w:t>
      </w:r>
      <w:r w:rsidRPr="009C4E06">
        <w:rPr>
          <w:rFonts w:eastAsia="Calibri"/>
          <w:lang w:eastAsia="en-US"/>
        </w:rPr>
        <w:t xml:space="preserve"> právní úprav</w:t>
      </w:r>
      <w:r>
        <w:rPr>
          <w:rFonts w:eastAsia="Calibri"/>
          <w:lang w:eastAsia="en-US"/>
        </w:rPr>
        <w:t>ou</w:t>
      </w:r>
      <w:r w:rsidRPr="009C4E06">
        <w:rPr>
          <w:rFonts w:eastAsia="Calibri"/>
          <w:lang w:eastAsia="en-US"/>
        </w:rPr>
        <w:t xml:space="preserve"> </w:t>
      </w:r>
      <w:r>
        <w:t>není zakládána veřejná podpora</w:t>
      </w:r>
      <w:r w:rsidRPr="009C4E06">
        <w:rPr>
          <w:rFonts w:eastAsia="Calibri"/>
          <w:lang w:eastAsia="en-US"/>
        </w:rPr>
        <w:t>.</w:t>
      </w:r>
    </w:p>
    <w:p w14:paraId="3B4F2DA5" w14:textId="77777777" w:rsidR="00CE68F7" w:rsidRDefault="00CE68F7" w:rsidP="00F2560A">
      <w:pPr>
        <w:pStyle w:val="Nadpis2"/>
        <w:keepNext w:val="0"/>
        <w:widowControl w:val="0"/>
        <w:numPr>
          <w:ilvl w:val="0"/>
          <w:numId w:val="1"/>
        </w:numPr>
        <w:shd w:val="clear" w:color="auto" w:fill="FFFFFF"/>
        <w:spacing w:before="0"/>
        <w:ind w:hanging="720"/>
        <w:jc w:val="both"/>
        <w:rPr>
          <w:sz w:val="24"/>
          <w:szCs w:val="24"/>
        </w:rPr>
      </w:pPr>
      <w:r>
        <w:rPr>
          <w:sz w:val="24"/>
          <w:szCs w:val="24"/>
        </w:rPr>
        <w:t>Zhodnocení dopadů na práva a povinnosti fyzických a právnických osob</w:t>
      </w:r>
    </w:p>
    <w:p w14:paraId="74A2D54C" w14:textId="2E1B73CF" w:rsidR="00C36764" w:rsidRPr="002746E2" w:rsidRDefault="4373367D" w:rsidP="2D6C39D6">
      <w:pPr>
        <w:widowControl w:val="0"/>
        <w:spacing w:after="120"/>
        <w:jc w:val="both"/>
        <w:rPr>
          <w:rFonts w:eastAsia="Calibri"/>
          <w:lang w:eastAsia="en-US"/>
        </w:rPr>
      </w:pPr>
      <w:r w:rsidRPr="002746E2">
        <w:rPr>
          <w:rFonts w:eastAsia="Calibri"/>
          <w:lang w:eastAsia="en-US"/>
        </w:rPr>
        <w:t xml:space="preserve">Navrhovaná právní úprava upravuje </w:t>
      </w:r>
      <w:r w:rsidR="2A422485" w:rsidRPr="002746E2">
        <w:rPr>
          <w:rFonts w:eastAsia="Calibri"/>
          <w:lang w:eastAsia="en-US"/>
        </w:rPr>
        <w:t>obsahovou strukturu</w:t>
      </w:r>
      <w:r w:rsidRPr="002746E2">
        <w:rPr>
          <w:rFonts w:eastAsia="Calibri"/>
          <w:lang w:eastAsia="en-US"/>
        </w:rPr>
        <w:t xml:space="preserve"> formulářových podání </w:t>
      </w:r>
      <w:r w:rsidR="107AAF3D" w:rsidRPr="002746E2">
        <w:rPr>
          <w:rFonts w:eastAsia="Calibri"/>
          <w:lang w:eastAsia="en-US"/>
        </w:rPr>
        <w:t>pro dorovnávací daně</w:t>
      </w:r>
      <w:r w:rsidR="0CA74A8A" w:rsidRPr="002746E2">
        <w:rPr>
          <w:rFonts w:eastAsia="Calibri"/>
          <w:lang w:eastAsia="en-US"/>
        </w:rPr>
        <w:t xml:space="preserve"> (informační přehled, </w:t>
      </w:r>
      <w:r w:rsidR="00B0159A">
        <w:rPr>
          <w:rFonts w:eastAsia="Calibri"/>
          <w:lang w:eastAsia="en-US"/>
        </w:rPr>
        <w:t>daňové</w:t>
      </w:r>
      <w:r w:rsidR="0CA74A8A" w:rsidRPr="002746E2">
        <w:rPr>
          <w:rFonts w:eastAsia="Calibri"/>
          <w:lang w:eastAsia="en-US"/>
        </w:rPr>
        <w:t xml:space="preserve"> přiznání)</w:t>
      </w:r>
      <w:r w:rsidRPr="002746E2">
        <w:rPr>
          <w:rFonts w:eastAsia="Calibri"/>
          <w:lang w:eastAsia="en-US"/>
        </w:rPr>
        <w:t>, které jsou realizací a konkretizací povinností, které jsou daňovým subjektům stanoveny § 72 daňového řádu</w:t>
      </w:r>
      <w:r w:rsidR="3772D6EC" w:rsidRPr="002746E2">
        <w:rPr>
          <w:rFonts w:eastAsia="Calibri"/>
          <w:lang w:eastAsia="en-US"/>
        </w:rPr>
        <w:t xml:space="preserve"> a </w:t>
      </w:r>
      <w:r w:rsidR="144455EE" w:rsidRPr="002746E2">
        <w:rPr>
          <w:rFonts w:eastAsia="Calibri"/>
          <w:lang w:eastAsia="en-US"/>
        </w:rPr>
        <w:t xml:space="preserve">§ 129 odst. 2 zákona o </w:t>
      </w:r>
      <w:r w:rsidR="00B0159A">
        <w:rPr>
          <w:rFonts w:eastAsia="Calibri"/>
          <w:lang w:eastAsia="en-US"/>
        </w:rPr>
        <w:t>dorovnávacích</w:t>
      </w:r>
      <w:r w:rsidR="144455EE" w:rsidRPr="002746E2">
        <w:rPr>
          <w:rFonts w:eastAsia="Calibri"/>
          <w:lang w:eastAsia="en-US"/>
        </w:rPr>
        <w:t xml:space="preserve"> daních</w:t>
      </w:r>
      <w:r w:rsidRPr="002746E2">
        <w:rPr>
          <w:rFonts w:eastAsia="Calibri"/>
          <w:lang w:eastAsia="en-US"/>
        </w:rPr>
        <w:t xml:space="preserve">. Samostatné nové povinnosti návrh nezakládá. </w:t>
      </w:r>
      <w:r w:rsidR="28D924C6" w:rsidRPr="002746E2">
        <w:rPr>
          <w:rFonts w:eastAsia="Calibri"/>
          <w:lang w:eastAsia="en-US"/>
        </w:rPr>
        <w:t xml:space="preserve">Vyhláška mimoto obsahuje i podrobnosti </w:t>
      </w:r>
      <w:r w:rsidR="4CCD97EF" w:rsidRPr="002746E2">
        <w:rPr>
          <w:rFonts w:eastAsia="Calibri"/>
          <w:lang w:eastAsia="en-US"/>
        </w:rPr>
        <w:t xml:space="preserve">o rozsahu informací předávaných ústředním kontaktním orgánem </w:t>
      </w:r>
      <w:r w:rsidR="04A112E0" w:rsidRPr="002746E2">
        <w:rPr>
          <w:rFonts w:eastAsia="Calibri"/>
          <w:lang w:eastAsia="en-US"/>
        </w:rPr>
        <w:t xml:space="preserve">odpovídající zmocnění podle § 15zy zákona o mezinárodní spolupráci při správě daní. </w:t>
      </w:r>
      <w:r w:rsidR="2A6B5B7B" w:rsidRPr="002746E2">
        <w:rPr>
          <w:rFonts w:eastAsia="Calibri"/>
          <w:lang w:eastAsia="en-US"/>
        </w:rPr>
        <w:t>V tomto případě se však nejedná o úpravu zakládající</w:t>
      </w:r>
      <w:r w:rsidR="37549B84" w:rsidRPr="002746E2">
        <w:rPr>
          <w:rFonts w:eastAsia="Calibri"/>
          <w:lang w:eastAsia="en-US"/>
        </w:rPr>
        <w:t xml:space="preserve"> novou</w:t>
      </w:r>
      <w:r w:rsidR="2A6B5B7B" w:rsidRPr="002746E2">
        <w:rPr>
          <w:rFonts w:eastAsia="Calibri"/>
          <w:lang w:eastAsia="en-US"/>
        </w:rPr>
        <w:t xml:space="preserve"> povinnost poplatníkovi</w:t>
      </w:r>
      <w:r w:rsidR="3E4B0A33" w:rsidRPr="002746E2">
        <w:rPr>
          <w:rFonts w:eastAsia="Calibri"/>
          <w:lang w:eastAsia="en-US"/>
        </w:rPr>
        <w:t>; úprava</w:t>
      </w:r>
      <w:r w:rsidR="2A6B5B7B" w:rsidRPr="002746E2">
        <w:rPr>
          <w:rFonts w:eastAsia="Calibri"/>
          <w:lang w:eastAsia="en-US"/>
        </w:rPr>
        <w:t xml:space="preserve"> je do návrhu vyhlášky zahrnut</w:t>
      </w:r>
      <w:r w:rsidR="53B5F607" w:rsidRPr="002746E2">
        <w:rPr>
          <w:rFonts w:eastAsia="Calibri"/>
          <w:lang w:eastAsia="en-US"/>
        </w:rPr>
        <w:t>a</w:t>
      </w:r>
      <w:r w:rsidR="2A6B5B7B" w:rsidRPr="002746E2">
        <w:rPr>
          <w:rFonts w:eastAsia="Calibri"/>
          <w:lang w:eastAsia="en-US"/>
        </w:rPr>
        <w:t xml:space="preserve"> s ohledem na úzkou provázanost s úpravou samotného </w:t>
      </w:r>
      <w:r w:rsidR="6CB4B020" w:rsidRPr="002746E2">
        <w:rPr>
          <w:rFonts w:eastAsia="Calibri"/>
          <w:lang w:eastAsia="en-US"/>
        </w:rPr>
        <w:t>informačního přehledu</w:t>
      </w:r>
      <w:r w:rsidR="02A5487E" w:rsidRPr="002746E2">
        <w:rPr>
          <w:rFonts w:eastAsia="Calibri"/>
          <w:lang w:eastAsia="en-US"/>
        </w:rPr>
        <w:t>.</w:t>
      </w:r>
    </w:p>
    <w:p w14:paraId="5EE576D2" w14:textId="7B3D6AC1" w:rsidR="00C36764" w:rsidRPr="002746E2" w:rsidRDefault="73369689" w:rsidP="2D6C39D6">
      <w:pPr>
        <w:widowControl w:val="0"/>
        <w:spacing w:after="120"/>
        <w:jc w:val="both"/>
        <w:rPr>
          <w:rFonts w:eastAsia="Calibri"/>
          <w:lang w:eastAsia="en-US"/>
        </w:rPr>
      </w:pPr>
      <w:r w:rsidRPr="002746E2">
        <w:rPr>
          <w:rFonts w:eastAsia="Calibri"/>
          <w:lang w:eastAsia="en-US"/>
        </w:rPr>
        <w:t>Podrobnosti vztahující se k šabloně informačn</w:t>
      </w:r>
      <w:r w:rsidR="13DE4A4C" w:rsidRPr="002746E2">
        <w:rPr>
          <w:rFonts w:eastAsia="Calibri"/>
          <w:lang w:eastAsia="en-US"/>
        </w:rPr>
        <w:t>í</w:t>
      </w:r>
      <w:r w:rsidRPr="002746E2">
        <w:rPr>
          <w:rFonts w:eastAsia="Calibri"/>
          <w:lang w:eastAsia="en-US"/>
        </w:rPr>
        <w:t xml:space="preserve">ho přehledu a </w:t>
      </w:r>
      <w:r w:rsidR="39F3C4C3" w:rsidRPr="002746E2">
        <w:rPr>
          <w:rFonts w:eastAsia="Calibri"/>
          <w:lang w:eastAsia="en-US"/>
        </w:rPr>
        <w:t>daňového přiznání jsou uvedeny</w:t>
      </w:r>
      <w:r w:rsidRPr="002746E2">
        <w:rPr>
          <w:rFonts w:eastAsia="Calibri"/>
          <w:lang w:eastAsia="en-US"/>
        </w:rPr>
        <w:t xml:space="preserve"> ve zvláštní části důvodové zprávy.</w:t>
      </w:r>
    </w:p>
    <w:p w14:paraId="7D8B52E3" w14:textId="77777777" w:rsidR="003C77F8" w:rsidRPr="009C4E06" w:rsidRDefault="003C77F8" w:rsidP="00F2560A">
      <w:pPr>
        <w:pStyle w:val="Nadpis2"/>
        <w:keepNext w:val="0"/>
        <w:widowControl w:val="0"/>
        <w:numPr>
          <w:ilvl w:val="0"/>
          <w:numId w:val="1"/>
        </w:numPr>
        <w:shd w:val="clear" w:color="auto" w:fill="FFFFFF"/>
        <w:spacing w:before="0"/>
        <w:ind w:hanging="720"/>
        <w:jc w:val="both"/>
        <w:rPr>
          <w:sz w:val="24"/>
          <w:szCs w:val="24"/>
        </w:rPr>
      </w:pPr>
      <w:r w:rsidRPr="009C4E06">
        <w:rPr>
          <w:sz w:val="24"/>
          <w:szCs w:val="24"/>
        </w:rPr>
        <w:t xml:space="preserve">Zhodnocení současného stavu </w:t>
      </w:r>
      <w:r w:rsidR="00284AB5" w:rsidRPr="009C4E06">
        <w:rPr>
          <w:sz w:val="24"/>
          <w:szCs w:val="24"/>
        </w:rPr>
        <w:t>a </w:t>
      </w:r>
      <w:r w:rsidRPr="009C4E06">
        <w:rPr>
          <w:sz w:val="24"/>
          <w:szCs w:val="24"/>
        </w:rPr>
        <w:t xml:space="preserve">dopadů navrhovaného řešení ve vztahu </w:t>
      </w:r>
      <w:r w:rsidR="00284AB5" w:rsidRPr="009C4E06">
        <w:rPr>
          <w:sz w:val="24"/>
          <w:szCs w:val="24"/>
        </w:rPr>
        <w:t>k </w:t>
      </w:r>
      <w:r w:rsidRPr="009C4E06">
        <w:rPr>
          <w:sz w:val="24"/>
          <w:szCs w:val="24"/>
        </w:rPr>
        <w:t>zákazu diskriminace</w:t>
      </w:r>
      <w:r w:rsidR="00623956" w:rsidRPr="009C4E06">
        <w:rPr>
          <w:sz w:val="24"/>
          <w:szCs w:val="24"/>
        </w:rPr>
        <w:t xml:space="preserve"> </w:t>
      </w:r>
      <w:r w:rsidR="00284AB5" w:rsidRPr="009C4E06">
        <w:rPr>
          <w:sz w:val="24"/>
          <w:szCs w:val="24"/>
        </w:rPr>
        <w:t>a </w:t>
      </w:r>
      <w:r w:rsidR="00623956" w:rsidRPr="009C4E06">
        <w:rPr>
          <w:sz w:val="24"/>
          <w:szCs w:val="24"/>
        </w:rPr>
        <w:t xml:space="preserve">ve vztahu </w:t>
      </w:r>
      <w:r w:rsidR="00284AB5" w:rsidRPr="009C4E06">
        <w:rPr>
          <w:sz w:val="24"/>
          <w:szCs w:val="24"/>
        </w:rPr>
        <w:t>k </w:t>
      </w:r>
      <w:r w:rsidR="00623956" w:rsidRPr="009C4E06">
        <w:rPr>
          <w:sz w:val="24"/>
          <w:szCs w:val="24"/>
        </w:rPr>
        <w:t xml:space="preserve">rovnosti mužů </w:t>
      </w:r>
      <w:r w:rsidR="00284AB5" w:rsidRPr="009C4E06">
        <w:rPr>
          <w:sz w:val="24"/>
          <w:szCs w:val="24"/>
        </w:rPr>
        <w:t>a </w:t>
      </w:r>
      <w:r w:rsidR="00623956" w:rsidRPr="009C4E06">
        <w:rPr>
          <w:sz w:val="24"/>
          <w:szCs w:val="24"/>
        </w:rPr>
        <w:t>žen</w:t>
      </w:r>
    </w:p>
    <w:p w14:paraId="64F7CC7E" w14:textId="195E5504" w:rsidR="003C77F8" w:rsidRPr="009C4E06" w:rsidRDefault="003C77F8" w:rsidP="00F2560A">
      <w:pPr>
        <w:widowControl w:val="0"/>
        <w:spacing w:after="120"/>
        <w:jc w:val="both"/>
        <w:rPr>
          <w:rFonts w:eastAsia="Calibri"/>
          <w:lang w:eastAsia="en-US"/>
        </w:rPr>
      </w:pPr>
      <w:r w:rsidRPr="009C4E06">
        <w:rPr>
          <w:rFonts w:eastAsia="Calibri"/>
          <w:lang w:eastAsia="en-US"/>
        </w:rPr>
        <w:t>Navrhovaná</w:t>
      </w:r>
      <w:r w:rsidR="00550A85" w:rsidRPr="009C4E06">
        <w:rPr>
          <w:rFonts w:eastAsia="Calibri"/>
          <w:lang w:eastAsia="en-US"/>
        </w:rPr>
        <w:t xml:space="preserve"> </w:t>
      </w:r>
      <w:r w:rsidRPr="009C4E06">
        <w:rPr>
          <w:rFonts w:eastAsia="Calibri"/>
          <w:lang w:eastAsia="en-US"/>
        </w:rPr>
        <w:t>právní úprav</w:t>
      </w:r>
      <w:r w:rsidR="00CE68F7">
        <w:rPr>
          <w:rFonts w:eastAsia="Calibri"/>
          <w:lang w:eastAsia="en-US"/>
        </w:rPr>
        <w:t xml:space="preserve">a nemá </w:t>
      </w:r>
      <w:r w:rsidRPr="009C4E06">
        <w:rPr>
          <w:rFonts w:eastAsia="Calibri"/>
          <w:lang w:eastAsia="en-US"/>
        </w:rPr>
        <w:t xml:space="preserve">dopad ve vztahu </w:t>
      </w:r>
      <w:r w:rsidR="00284AB5" w:rsidRPr="009C4E06">
        <w:rPr>
          <w:rFonts w:eastAsia="Calibri"/>
          <w:lang w:eastAsia="en-US"/>
        </w:rPr>
        <w:t>k </w:t>
      </w:r>
      <w:r w:rsidRPr="009C4E06">
        <w:rPr>
          <w:rFonts w:eastAsia="Calibri"/>
          <w:lang w:eastAsia="en-US"/>
        </w:rPr>
        <w:t>zákazu diskriminace</w:t>
      </w:r>
      <w:r w:rsidR="001B51D5" w:rsidRPr="009C4E06">
        <w:t xml:space="preserve"> ani ve vztahu k rovnosti mužů </w:t>
      </w:r>
      <w:r w:rsidR="00284AB5" w:rsidRPr="009C4E06">
        <w:t>a </w:t>
      </w:r>
      <w:r w:rsidR="001B51D5" w:rsidRPr="009C4E06">
        <w:t>žen</w:t>
      </w:r>
      <w:r w:rsidRPr="009C4E06">
        <w:rPr>
          <w:rFonts w:eastAsia="Calibri"/>
          <w:lang w:eastAsia="en-US"/>
        </w:rPr>
        <w:t>.</w:t>
      </w:r>
    </w:p>
    <w:p w14:paraId="4976FDF7" w14:textId="71656441" w:rsidR="009C4E06" w:rsidRDefault="214732F7" w:rsidP="2D6C39D6">
      <w:pPr>
        <w:pStyle w:val="Nadpis2"/>
        <w:keepNext w:val="0"/>
        <w:widowControl w:val="0"/>
        <w:numPr>
          <w:ilvl w:val="0"/>
          <w:numId w:val="1"/>
        </w:numPr>
        <w:shd w:val="clear" w:color="auto" w:fill="FFFFFF" w:themeFill="background1"/>
        <w:spacing w:before="0"/>
        <w:ind w:hanging="720"/>
        <w:jc w:val="both"/>
        <w:rPr>
          <w:sz w:val="24"/>
          <w:szCs w:val="24"/>
        </w:rPr>
      </w:pPr>
      <w:r w:rsidRPr="2D6C39D6">
        <w:rPr>
          <w:sz w:val="24"/>
          <w:szCs w:val="24"/>
        </w:rPr>
        <w:t xml:space="preserve">Zhodnocení dopadů navrhovaného řešení ve vztahu </w:t>
      </w:r>
      <w:r w:rsidR="17F9C882" w:rsidRPr="2D6C39D6">
        <w:rPr>
          <w:sz w:val="24"/>
          <w:szCs w:val="24"/>
        </w:rPr>
        <w:t>k </w:t>
      </w:r>
      <w:r w:rsidRPr="2D6C39D6">
        <w:rPr>
          <w:sz w:val="24"/>
          <w:szCs w:val="24"/>
        </w:rPr>
        <w:t>ochraně soukromí a osobních údajů</w:t>
      </w:r>
      <w:r w:rsidR="3DCA9715" w:rsidRPr="2D6C39D6">
        <w:rPr>
          <w:sz w:val="24"/>
          <w:szCs w:val="24"/>
        </w:rPr>
        <w:t xml:space="preserve"> (DPIA)</w:t>
      </w:r>
    </w:p>
    <w:p w14:paraId="000B2D70" w14:textId="70B83E62" w:rsidR="78BD33F7" w:rsidRDefault="78BD33F7" w:rsidP="002746E2">
      <w:pPr>
        <w:spacing w:before="120" w:after="120"/>
        <w:jc w:val="both"/>
        <w:rPr>
          <w:lang w:val="cs"/>
        </w:rPr>
      </w:pPr>
      <w:r w:rsidRPr="2D6C39D6">
        <w:rPr>
          <w:lang w:val="cs"/>
        </w:rPr>
        <w:t xml:space="preserve">Z hlediska implementace části směrnice </w:t>
      </w:r>
      <w:r w:rsidR="00FE071D">
        <w:rPr>
          <w:lang w:val="cs"/>
        </w:rPr>
        <w:t>DAC9</w:t>
      </w:r>
      <w:r w:rsidRPr="2D6C39D6">
        <w:rPr>
          <w:lang w:val="cs"/>
        </w:rPr>
        <w:t xml:space="preserve"> týkající se informačního přehledu navrhovaná právní úprava neukládá nové zpracování osobních údajů. Předmětem informací obsažených v informačním přehledu nejsou osobní údaje týkající se fyzických osob. V rozsahu implementace části směrnice </w:t>
      </w:r>
      <w:r w:rsidR="00FE071D">
        <w:rPr>
          <w:lang w:val="cs"/>
        </w:rPr>
        <w:t>DAC9</w:t>
      </w:r>
      <w:r w:rsidRPr="2D6C39D6">
        <w:rPr>
          <w:lang w:val="cs"/>
        </w:rPr>
        <w:t xml:space="preserve"> se tedy navrhovaná úprava nedotýká ochrany soukromí a osobních údajů. Uvedenému odpovídá i formulář daňového přiznání, které se také týká výhradně právnických osob.</w:t>
      </w:r>
    </w:p>
    <w:p w14:paraId="232FB7FA" w14:textId="056BB029" w:rsidR="78BD33F7" w:rsidRPr="002746E2" w:rsidRDefault="78BD33F7" w:rsidP="002746E2">
      <w:pPr>
        <w:spacing w:after="160" w:line="257" w:lineRule="auto"/>
        <w:jc w:val="both"/>
        <w:rPr>
          <w:rFonts w:eastAsia="Calibri"/>
          <w:lang w:val="cs"/>
        </w:rPr>
      </w:pPr>
      <w:r w:rsidRPr="002746E2">
        <w:rPr>
          <w:rFonts w:eastAsia="Calibri"/>
          <w:lang w:val="cs"/>
        </w:rPr>
        <w:t xml:space="preserve">Navrhovaná právní úprava tedy žádným způsobem nemění parametry zacházení s osobními údaji fyzických osob a jejich ochrany a v jejím důsledku nedochází k rozšíření okruhu subjektů, </w:t>
      </w:r>
      <w:r w:rsidRPr="002746E2">
        <w:rPr>
          <w:rFonts w:eastAsia="Calibri"/>
          <w:lang w:val="cs"/>
        </w:rPr>
        <w:lastRenderedPageBreak/>
        <w:t>jejichž osobní údaje jsou zpracovávány, popř. okruhu doposud zpracovávaných osobních údajů. Navrhovaná právní úprava s sebou nenese ani jiné dopady na soukromí dotčených ani jiných osob. Vzhledem k tomu, že navrženou právní úpravou nedochází k novému zpracování osobních údajů ani ke změně stávajícího</w:t>
      </w:r>
      <w:r w:rsidR="00FE071D" w:rsidRPr="6B3A7757">
        <w:rPr>
          <w:rFonts w:eastAsia="Calibri"/>
          <w:lang w:val="cs"/>
        </w:rPr>
        <w:t xml:space="preserve"> rozsahu zpracování</w:t>
      </w:r>
      <w:r w:rsidRPr="002746E2">
        <w:rPr>
          <w:rFonts w:eastAsia="Calibri"/>
          <w:lang w:val="cs"/>
        </w:rPr>
        <w:t>, se vliv na ochranu osobních údajů dále neposuzuje.</w:t>
      </w:r>
    </w:p>
    <w:p w14:paraId="223AE848" w14:textId="44FC0432" w:rsidR="009436B0" w:rsidRPr="009C4E06" w:rsidRDefault="009436B0" w:rsidP="00F2560A">
      <w:pPr>
        <w:pStyle w:val="Nadpis2"/>
        <w:keepNext w:val="0"/>
        <w:widowControl w:val="0"/>
        <w:numPr>
          <w:ilvl w:val="0"/>
          <w:numId w:val="1"/>
        </w:numPr>
        <w:shd w:val="clear" w:color="auto" w:fill="FFFFFF"/>
        <w:spacing w:before="0"/>
        <w:ind w:hanging="720"/>
        <w:jc w:val="both"/>
        <w:rPr>
          <w:sz w:val="24"/>
          <w:szCs w:val="24"/>
        </w:rPr>
      </w:pPr>
      <w:r w:rsidRPr="009C4E06">
        <w:rPr>
          <w:sz w:val="24"/>
          <w:szCs w:val="24"/>
        </w:rPr>
        <w:t>Zhodnocení korupčních rizik</w:t>
      </w:r>
    </w:p>
    <w:p w14:paraId="6F6A0FE4" w14:textId="77777777" w:rsidR="003F0D8A" w:rsidRPr="003F0D8A" w:rsidRDefault="003F0D8A" w:rsidP="00F2560A">
      <w:pPr>
        <w:widowControl w:val="0"/>
        <w:spacing w:after="120"/>
        <w:jc w:val="both"/>
        <w:rPr>
          <w:rFonts w:eastAsia="Calibri"/>
          <w:lang w:eastAsia="en-US"/>
        </w:rPr>
      </w:pPr>
      <w:r w:rsidRPr="003F0D8A">
        <w:rPr>
          <w:rFonts w:eastAsia="Calibri"/>
          <w:lang w:eastAsia="en-US"/>
        </w:rPr>
        <w:t>Navrhovaná právní úprava není z korupčního hlediska riziková. Předložený prováděcí předpis nezavádí diskreci v rozhodování, v níž by mohla být korupční rizika spatřována.</w:t>
      </w:r>
    </w:p>
    <w:p w14:paraId="665057AD" w14:textId="3FD1D1CA" w:rsidR="00741332" w:rsidRPr="009C4E06" w:rsidRDefault="00741332" w:rsidP="00F2560A">
      <w:pPr>
        <w:pStyle w:val="Nadpis2"/>
        <w:keepNext w:val="0"/>
        <w:widowControl w:val="0"/>
        <w:numPr>
          <w:ilvl w:val="0"/>
          <w:numId w:val="1"/>
        </w:numPr>
        <w:shd w:val="clear" w:color="auto" w:fill="FFFFFF"/>
        <w:spacing w:before="0"/>
        <w:ind w:hanging="720"/>
        <w:jc w:val="both"/>
        <w:rPr>
          <w:sz w:val="24"/>
          <w:szCs w:val="24"/>
        </w:rPr>
      </w:pPr>
      <w:r w:rsidRPr="009C4E06">
        <w:rPr>
          <w:sz w:val="24"/>
          <w:szCs w:val="24"/>
        </w:rPr>
        <w:t xml:space="preserve">Zhodnocení dopadů </w:t>
      </w:r>
      <w:r w:rsidR="004C3897" w:rsidRPr="009C4E06">
        <w:rPr>
          <w:sz w:val="24"/>
          <w:szCs w:val="24"/>
        </w:rPr>
        <w:t>na bezpečnost nebo obranu státu</w:t>
      </w:r>
    </w:p>
    <w:p w14:paraId="334067FB" w14:textId="56154899" w:rsidR="00741332" w:rsidRPr="009C4E06" w:rsidRDefault="00033E85" w:rsidP="00F2560A">
      <w:pPr>
        <w:widowControl w:val="0"/>
        <w:spacing w:after="120"/>
        <w:jc w:val="both"/>
        <w:rPr>
          <w:rFonts w:eastAsia="Calibri"/>
          <w:lang w:eastAsia="en-US"/>
        </w:rPr>
      </w:pPr>
      <w:r w:rsidRPr="009C4E06">
        <w:rPr>
          <w:rFonts w:eastAsia="Calibri"/>
          <w:lang w:eastAsia="en-US"/>
        </w:rPr>
        <w:t xml:space="preserve">Navrhovaná </w:t>
      </w:r>
      <w:r w:rsidR="00AB6802" w:rsidRPr="009C4E06">
        <w:rPr>
          <w:rFonts w:eastAsia="Calibri"/>
          <w:lang w:eastAsia="en-US"/>
        </w:rPr>
        <w:t xml:space="preserve">právní </w:t>
      </w:r>
      <w:r w:rsidRPr="009C4E06">
        <w:rPr>
          <w:rFonts w:eastAsia="Calibri"/>
          <w:lang w:eastAsia="en-US"/>
        </w:rPr>
        <w:t>úprava nemá dopad na bezpečnost nebo obranu st</w:t>
      </w:r>
      <w:r w:rsidR="0044311E" w:rsidRPr="009C4E06">
        <w:rPr>
          <w:rFonts w:eastAsia="Calibri"/>
          <w:lang w:eastAsia="en-US"/>
        </w:rPr>
        <w:t>átu</w:t>
      </w:r>
      <w:r w:rsidRPr="009C4E06">
        <w:rPr>
          <w:rFonts w:eastAsia="Calibri"/>
          <w:lang w:eastAsia="en-US"/>
        </w:rPr>
        <w:t>.</w:t>
      </w:r>
    </w:p>
    <w:p w14:paraId="0211E7FF" w14:textId="257BC1C9" w:rsidR="00771871" w:rsidRPr="009C4E06" w:rsidRDefault="00771871" w:rsidP="00F2560A">
      <w:pPr>
        <w:pStyle w:val="Nadpis2"/>
        <w:keepNext w:val="0"/>
        <w:widowControl w:val="0"/>
        <w:numPr>
          <w:ilvl w:val="0"/>
          <w:numId w:val="1"/>
        </w:numPr>
        <w:shd w:val="clear" w:color="auto" w:fill="FFFFFF"/>
        <w:spacing w:before="0"/>
        <w:ind w:hanging="720"/>
        <w:jc w:val="both"/>
        <w:rPr>
          <w:sz w:val="24"/>
          <w:szCs w:val="24"/>
        </w:rPr>
      </w:pPr>
      <w:r w:rsidRPr="009C4E06">
        <w:rPr>
          <w:sz w:val="24"/>
          <w:szCs w:val="24"/>
        </w:rPr>
        <w:t>Zhodnocení dopadů na rodiny</w:t>
      </w:r>
    </w:p>
    <w:p w14:paraId="03FDC455" w14:textId="1B8DB90B" w:rsidR="00771871" w:rsidRPr="009C4E06" w:rsidRDefault="00771871" w:rsidP="00F2560A">
      <w:pPr>
        <w:widowControl w:val="0"/>
        <w:tabs>
          <w:tab w:val="left" w:pos="6660"/>
        </w:tabs>
        <w:spacing w:after="120"/>
        <w:jc w:val="both"/>
      </w:pPr>
      <w:r w:rsidRPr="009C4E06">
        <w:t>S realizací n</w:t>
      </w:r>
      <w:r w:rsidR="00CE68F7">
        <w:t>avrhované právní úpravy</w:t>
      </w:r>
      <w:r w:rsidRPr="009C4E06">
        <w:t xml:space="preserve"> nebudou spojeny žádné samostatné </w:t>
      </w:r>
      <w:r w:rsidR="00F6464E" w:rsidRPr="009C4E06">
        <w:t xml:space="preserve">dopady </w:t>
      </w:r>
      <w:r w:rsidRPr="009C4E06">
        <w:t>na rodiny.</w:t>
      </w:r>
    </w:p>
    <w:p w14:paraId="7BE7BC46" w14:textId="0D24C41F" w:rsidR="00771871" w:rsidRPr="009C4E06" w:rsidRDefault="00771871" w:rsidP="00F2560A">
      <w:pPr>
        <w:pStyle w:val="Nadpis2"/>
        <w:keepNext w:val="0"/>
        <w:widowControl w:val="0"/>
        <w:numPr>
          <w:ilvl w:val="0"/>
          <w:numId w:val="1"/>
        </w:numPr>
        <w:shd w:val="clear" w:color="auto" w:fill="FFFFFF"/>
        <w:spacing w:before="0"/>
        <w:ind w:hanging="720"/>
        <w:jc w:val="both"/>
        <w:rPr>
          <w:sz w:val="24"/>
          <w:szCs w:val="24"/>
        </w:rPr>
      </w:pPr>
      <w:r w:rsidRPr="009C4E06">
        <w:rPr>
          <w:sz w:val="24"/>
          <w:szCs w:val="24"/>
        </w:rPr>
        <w:t>Zhodnocení územních dopadů, včetně dopadů na územní samosprávné celky</w:t>
      </w:r>
    </w:p>
    <w:p w14:paraId="56848684" w14:textId="5D6BF6F3" w:rsidR="001C6960" w:rsidRPr="009C4E06" w:rsidRDefault="00F6464E" w:rsidP="00F2560A">
      <w:pPr>
        <w:widowControl w:val="0"/>
        <w:tabs>
          <w:tab w:val="left" w:pos="6660"/>
        </w:tabs>
        <w:spacing w:after="120"/>
        <w:jc w:val="both"/>
      </w:pPr>
      <w:r w:rsidRPr="009C4E06">
        <w:t>S </w:t>
      </w:r>
      <w:r w:rsidR="001C6960" w:rsidRPr="009C4E06">
        <w:t xml:space="preserve">realizací </w:t>
      </w:r>
      <w:r w:rsidR="00CE68F7" w:rsidRPr="009C4E06">
        <w:t>n</w:t>
      </w:r>
      <w:r w:rsidR="00CE68F7">
        <w:t>avrhované právní úpravy</w:t>
      </w:r>
      <w:r w:rsidR="00CE68F7" w:rsidRPr="009C4E06">
        <w:t xml:space="preserve"> </w:t>
      </w:r>
      <w:r w:rsidR="001C6960" w:rsidRPr="009C4E06">
        <w:t xml:space="preserve">nebudou spojeny žádné územní dopady, </w:t>
      </w:r>
      <w:r w:rsidRPr="009C4E06">
        <w:t>a </w:t>
      </w:r>
      <w:r w:rsidR="001C6960" w:rsidRPr="009C4E06">
        <w:t>to včetně dopadů na územní samosprávné celky.</w:t>
      </w:r>
    </w:p>
    <w:p w14:paraId="098EFABD" w14:textId="641F18E1" w:rsidR="00771871" w:rsidRPr="009C4E06" w:rsidRDefault="00771871" w:rsidP="00F2560A">
      <w:pPr>
        <w:pStyle w:val="Nadpis2"/>
        <w:keepNext w:val="0"/>
        <w:widowControl w:val="0"/>
        <w:numPr>
          <w:ilvl w:val="0"/>
          <w:numId w:val="1"/>
        </w:numPr>
        <w:shd w:val="clear" w:color="auto" w:fill="FFFFFF"/>
        <w:spacing w:before="0"/>
        <w:ind w:hanging="720"/>
        <w:jc w:val="both"/>
        <w:rPr>
          <w:sz w:val="24"/>
          <w:szCs w:val="24"/>
        </w:rPr>
      </w:pPr>
      <w:r w:rsidRPr="009C4E06">
        <w:rPr>
          <w:sz w:val="24"/>
          <w:szCs w:val="24"/>
        </w:rPr>
        <w:t>Zhodnocení souladu navrhovaného řešení se zásadami tvorby digitálně přívětivé</w:t>
      </w:r>
      <w:r w:rsidR="001C6960" w:rsidRPr="009C4E06">
        <w:rPr>
          <w:sz w:val="24"/>
          <w:szCs w:val="24"/>
        </w:rPr>
        <w:t xml:space="preserve"> legislativy</w:t>
      </w:r>
    </w:p>
    <w:p w14:paraId="26379989" w14:textId="20716935" w:rsidR="00A05A40" w:rsidRPr="002746E2" w:rsidRDefault="1E19011B" w:rsidP="2D6C39D6">
      <w:pPr>
        <w:widowControl w:val="0"/>
        <w:tabs>
          <w:tab w:val="left" w:pos="6660"/>
        </w:tabs>
        <w:spacing w:after="120"/>
        <w:jc w:val="both"/>
      </w:pPr>
      <w:r w:rsidRPr="002746E2">
        <w:t>V rámci této kapitoly je zhodnocen soulad navrhovaného právního předpisu s hlavními deseti zásadami pro tvorbu digitálně přívětivé legislativy. Opatření obsažená v návrhu vyhlášky buď dopady do uvedené oblasti nemají, anebo tyto dopady vyplývají z povahy a popisu opatření samotných v jiných částech této důvodové zprávy. Předmětný návrh vyhlášky reaguje na úpravu daňového řádu, která je součástí</w:t>
      </w:r>
      <w:r w:rsidR="57EBD3C5" w:rsidRPr="002746E2">
        <w:t xml:space="preserve"> </w:t>
      </w:r>
      <w:r w:rsidRPr="002746E2">
        <w:t xml:space="preserve">celnického balíčku. V uvedeném koncepčním ohledu tedy předkladatel </w:t>
      </w:r>
      <w:r w:rsidR="57EBD3C5" w:rsidRPr="002746E2">
        <w:t xml:space="preserve">nemá </w:t>
      </w:r>
      <w:r w:rsidRPr="002746E2">
        <w:t xml:space="preserve">možnost se v rámci návrhu vyhlášky od této právní úpravy diskrečně odchýlit, není-li dále uvedeno jinak. </w:t>
      </w:r>
    </w:p>
    <w:p w14:paraId="3E09F51D" w14:textId="77777777" w:rsidR="00A05A40" w:rsidRPr="002746E2" w:rsidRDefault="1E19011B" w:rsidP="2D6C39D6">
      <w:pPr>
        <w:pStyle w:val="Nadpis4"/>
        <w:keepNext w:val="0"/>
        <w:spacing w:after="120"/>
        <w:rPr>
          <w:i/>
          <w:iCs/>
        </w:rPr>
      </w:pPr>
      <w:r w:rsidRPr="002746E2">
        <w:rPr>
          <w:i/>
          <w:iCs/>
        </w:rPr>
        <w:t>15.1. Budování přednostně digitálních služeb (princip digital by default)</w:t>
      </w:r>
    </w:p>
    <w:p w14:paraId="1F0D29F0" w14:textId="242E7C50" w:rsidR="00A05A40" w:rsidRPr="002746E2" w:rsidRDefault="1E19011B" w:rsidP="2D6C39D6">
      <w:pPr>
        <w:pStyle w:val="DTlotextu1"/>
        <w:widowControl w:val="0"/>
        <w:rPr>
          <w:rFonts w:eastAsia="Calibri"/>
          <w:lang w:eastAsia="en-US"/>
        </w:rPr>
      </w:pPr>
      <w:r w:rsidRPr="002746E2">
        <w:rPr>
          <w:rFonts w:eastAsia="Calibri"/>
          <w:lang w:eastAsia="en-US"/>
        </w:rPr>
        <w:t>Návrh vyhlášky nemá sám o sobě vliv na</w:t>
      </w:r>
      <w:r w:rsidR="4170A1E7" w:rsidRPr="002746E2">
        <w:rPr>
          <w:rFonts w:eastAsia="Calibri"/>
          <w:lang w:eastAsia="en-US"/>
        </w:rPr>
        <w:t xml:space="preserve"> stávající podobu dotčených </w:t>
      </w:r>
      <w:r w:rsidRPr="002746E2">
        <w:rPr>
          <w:rFonts w:eastAsia="Calibri"/>
          <w:lang w:eastAsia="en-US"/>
        </w:rPr>
        <w:t>digitální</w:t>
      </w:r>
      <w:r w:rsidR="4170A1E7" w:rsidRPr="002746E2">
        <w:rPr>
          <w:rFonts w:eastAsia="Calibri"/>
          <w:lang w:eastAsia="en-US"/>
        </w:rPr>
        <w:t>ch</w:t>
      </w:r>
      <w:r w:rsidRPr="002746E2">
        <w:rPr>
          <w:rFonts w:eastAsia="Calibri"/>
          <w:lang w:eastAsia="en-US"/>
        </w:rPr>
        <w:t xml:space="preserve"> služ</w:t>
      </w:r>
      <w:r w:rsidR="4170A1E7" w:rsidRPr="002746E2">
        <w:rPr>
          <w:rFonts w:eastAsia="Calibri"/>
          <w:lang w:eastAsia="en-US"/>
        </w:rPr>
        <w:t>e</w:t>
      </w:r>
      <w:r w:rsidRPr="002746E2">
        <w:rPr>
          <w:rFonts w:eastAsia="Calibri"/>
          <w:lang w:eastAsia="en-US"/>
        </w:rPr>
        <w:t>b</w:t>
      </w:r>
      <w:r w:rsidR="4170A1E7" w:rsidRPr="002746E2">
        <w:rPr>
          <w:rFonts w:eastAsia="Calibri"/>
          <w:lang w:eastAsia="en-US"/>
        </w:rPr>
        <w:t xml:space="preserve">, neboť tyto služby (související s činěním formulářových podání elektronicky) </w:t>
      </w:r>
      <w:r w:rsidRPr="002746E2">
        <w:rPr>
          <w:rFonts w:eastAsia="Calibri"/>
          <w:lang w:eastAsia="en-US"/>
        </w:rPr>
        <w:t>vyplýv</w:t>
      </w:r>
      <w:r w:rsidR="4170A1E7" w:rsidRPr="002746E2">
        <w:rPr>
          <w:rFonts w:eastAsia="Calibri"/>
          <w:lang w:eastAsia="en-US"/>
        </w:rPr>
        <w:t>ají</w:t>
      </w:r>
      <w:r w:rsidRPr="002746E2">
        <w:rPr>
          <w:rFonts w:eastAsia="Calibri"/>
          <w:lang w:eastAsia="en-US"/>
        </w:rPr>
        <w:t xml:space="preserve"> již ze zákonné úrovně normotvorby a návrh vyhlášky j</w:t>
      </w:r>
      <w:r w:rsidR="4170A1E7" w:rsidRPr="002746E2">
        <w:rPr>
          <w:rFonts w:eastAsia="Calibri"/>
          <w:lang w:eastAsia="en-US"/>
        </w:rPr>
        <w:t>e</w:t>
      </w:r>
      <w:r w:rsidRPr="002746E2">
        <w:rPr>
          <w:rFonts w:eastAsia="Calibri"/>
          <w:lang w:eastAsia="en-US"/>
        </w:rPr>
        <w:t xml:space="preserve"> pouze rozvádí.</w:t>
      </w:r>
      <w:r w:rsidR="4170A1E7" w:rsidRPr="002746E2">
        <w:rPr>
          <w:rFonts w:eastAsia="Calibri"/>
          <w:lang w:eastAsia="en-US"/>
        </w:rPr>
        <w:t xml:space="preserve"> </w:t>
      </w:r>
      <w:r w:rsidR="11AE1769" w:rsidRPr="2D6C39D6">
        <w:rPr>
          <w:rFonts w:eastAsia="Calibri"/>
          <w:lang w:eastAsia="en-US"/>
        </w:rPr>
        <w:t xml:space="preserve">Zákon o dorovnávacích daních v § </w:t>
      </w:r>
      <w:r w:rsidR="74D488FA" w:rsidRPr="2D6C39D6">
        <w:rPr>
          <w:rFonts w:eastAsia="Calibri"/>
          <w:lang w:eastAsia="en-US"/>
        </w:rPr>
        <w:t xml:space="preserve">128 zákona o dorovnávacích daních již uvádí, že </w:t>
      </w:r>
      <w:r w:rsidR="1D22C83B" w:rsidRPr="2D6C39D6">
        <w:rPr>
          <w:rFonts w:eastAsia="Calibri"/>
          <w:lang w:eastAsia="en-US"/>
        </w:rPr>
        <w:t xml:space="preserve">formulářové podání lze učinit pouze elektronicky. V rámci návrhu vyhlášky </w:t>
      </w:r>
      <w:r w:rsidR="08B4E556" w:rsidRPr="2D6C39D6">
        <w:rPr>
          <w:rFonts w:eastAsia="Calibri"/>
          <w:lang w:eastAsia="en-US"/>
        </w:rPr>
        <w:t>se pouze normuje povinný formát XML.</w:t>
      </w:r>
    </w:p>
    <w:p w14:paraId="6417A506" w14:textId="77777777" w:rsidR="00A05A40" w:rsidRPr="002746E2" w:rsidRDefault="1E19011B" w:rsidP="2D6C39D6">
      <w:pPr>
        <w:pStyle w:val="Nadpis4"/>
        <w:keepNext w:val="0"/>
        <w:spacing w:after="120"/>
        <w:rPr>
          <w:i/>
          <w:iCs/>
        </w:rPr>
      </w:pPr>
      <w:r w:rsidRPr="002746E2">
        <w:rPr>
          <w:i/>
          <w:iCs/>
        </w:rPr>
        <w:t>15.2. Maximální opakovatelnost a znovupoužitelnost údajů a služeb (princip only once)</w:t>
      </w:r>
    </w:p>
    <w:p w14:paraId="7A22C2EC" w14:textId="64827639" w:rsidR="00A05A40" w:rsidRPr="002746E2" w:rsidRDefault="1E19011B" w:rsidP="2D6C39D6">
      <w:pPr>
        <w:pStyle w:val="DTlotextu1"/>
        <w:widowControl w:val="0"/>
      </w:pPr>
      <w:r w:rsidRPr="002746E2">
        <w:t>Navrhovan</w:t>
      </w:r>
      <w:r w:rsidR="13A88F76" w:rsidRPr="002746E2">
        <w:t xml:space="preserve">á úprava </w:t>
      </w:r>
      <w:r w:rsidRPr="002746E2">
        <w:t>nezavád</w:t>
      </w:r>
      <w:r w:rsidR="4A17E21F" w:rsidRPr="002746E2">
        <w:t>í</w:t>
      </w:r>
      <w:r w:rsidRPr="002746E2">
        <w:t xml:space="preserve"> povinnost sdělovat správci daně skutečnosti, které má již k dispozici. </w:t>
      </w:r>
    </w:p>
    <w:p w14:paraId="229CDF95" w14:textId="77777777" w:rsidR="00A05A40" w:rsidRPr="002746E2" w:rsidRDefault="1E19011B" w:rsidP="2D6C39D6">
      <w:pPr>
        <w:pStyle w:val="Nadpis4"/>
        <w:keepNext w:val="0"/>
        <w:spacing w:after="120"/>
        <w:rPr>
          <w:i/>
          <w:iCs/>
        </w:rPr>
      </w:pPr>
      <w:r w:rsidRPr="002746E2">
        <w:rPr>
          <w:i/>
          <w:iCs/>
        </w:rPr>
        <w:t>15.3. Budování služeb přístupných a použitelných pro všechny, včetně osob se zdravotním postižením (princip governance accessibility)</w:t>
      </w:r>
    </w:p>
    <w:p w14:paraId="773A16BD" w14:textId="7BFE6768" w:rsidR="00A05A40" w:rsidRPr="002746E2" w:rsidRDefault="1E19011B" w:rsidP="2D6C39D6">
      <w:pPr>
        <w:pStyle w:val="DTlotextu1"/>
        <w:widowControl w:val="0"/>
      </w:pPr>
      <w:r w:rsidRPr="002746E2">
        <w:t>Tato zásada není návrhem upravována</w:t>
      </w:r>
      <w:r w:rsidR="040ED34A">
        <w:t>.</w:t>
      </w:r>
    </w:p>
    <w:p w14:paraId="0A875909" w14:textId="77777777" w:rsidR="00A05A40" w:rsidRPr="002746E2" w:rsidRDefault="1E19011B" w:rsidP="2D6C39D6">
      <w:pPr>
        <w:pStyle w:val="Nadpis4"/>
        <w:keepNext w:val="0"/>
        <w:spacing w:after="120"/>
        <w:rPr>
          <w:i/>
          <w:iCs/>
        </w:rPr>
      </w:pPr>
      <w:r w:rsidRPr="002746E2">
        <w:rPr>
          <w:i/>
          <w:iCs/>
        </w:rPr>
        <w:t>15.4. Sdílené služby veřejné správy</w:t>
      </w:r>
    </w:p>
    <w:p w14:paraId="056F51DD" w14:textId="349D862A" w:rsidR="00A05A40" w:rsidRPr="002746E2" w:rsidRDefault="1E19011B" w:rsidP="2D6C39D6">
      <w:pPr>
        <w:pStyle w:val="DTlotextu1"/>
        <w:widowControl w:val="0"/>
      </w:pPr>
      <w:r w:rsidRPr="002746E2">
        <w:t xml:space="preserve">Navrhovaná právní úprava v oblasti </w:t>
      </w:r>
      <w:r w:rsidR="22F8F6FE" w:rsidRPr="002746E2">
        <w:t>činění formulářových podání při správě daní</w:t>
      </w:r>
      <w:r w:rsidRPr="002746E2">
        <w:t xml:space="preserve"> nepředpokládá odchylky od obecné právní úpravy správ</w:t>
      </w:r>
      <w:r w:rsidR="22F8F6FE" w:rsidRPr="002746E2">
        <w:t>y</w:t>
      </w:r>
      <w:r w:rsidRPr="002746E2">
        <w:t xml:space="preserve"> daní ani praxe správců daně.</w:t>
      </w:r>
    </w:p>
    <w:p w14:paraId="1AA4497A" w14:textId="77777777" w:rsidR="00A05A40" w:rsidRPr="002746E2" w:rsidRDefault="1E19011B" w:rsidP="2D6C39D6">
      <w:pPr>
        <w:pStyle w:val="Nadpis4"/>
        <w:keepNext w:val="0"/>
        <w:spacing w:after="120"/>
        <w:rPr>
          <w:i/>
          <w:iCs/>
        </w:rPr>
      </w:pPr>
      <w:r w:rsidRPr="002746E2">
        <w:rPr>
          <w:i/>
          <w:iCs/>
        </w:rPr>
        <w:t>15.5. Konsolidace a propojování informačních systémů veřejné správy</w:t>
      </w:r>
    </w:p>
    <w:p w14:paraId="2BA39E05" w14:textId="77777777" w:rsidR="00A05A40" w:rsidRPr="002746E2" w:rsidRDefault="1E19011B" w:rsidP="2D6C39D6">
      <w:pPr>
        <w:pStyle w:val="DTlotextu1"/>
        <w:widowControl w:val="0"/>
      </w:pPr>
      <w:r w:rsidRPr="002746E2">
        <w:t xml:space="preserve">Navrhovaná právní úprava nestanoví, jakým způsobem má příslušný orgán veřejné moci zajistit </w:t>
      </w:r>
      <w:r w:rsidRPr="002746E2">
        <w:lastRenderedPageBreak/>
        <w:t>to, aby jím poskytované služby řádně fungovaly. Vzhledem k tomu, že většina údajů z daňové oblasti podléhá zákonem stanovené povinnosti zachovávat mlčenlivost, nelze očekávat absolutní míru propojení informačních systémů používaných při správě daní a informačních systémů jiných.</w:t>
      </w:r>
    </w:p>
    <w:p w14:paraId="3EF1F158" w14:textId="77777777" w:rsidR="00A05A40" w:rsidRPr="002746E2" w:rsidRDefault="1E19011B" w:rsidP="2D6C39D6">
      <w:pPr>
        <w:pStyle w:val="Nadpis4"/>
        <w:keepNext w:val="0"/>
        <w:rPr>
          <w:i/>
          <w:iCs/>
        </w:rPr>
      </w:pPr>
      <w:r w:rsidRPr="002746E2">
        <w:rPr>
          <w:i/>
          <w:iCs/>
        </w:rPr>
        <w:t>15.6. Mezinárodní interoperabilita – budování služeb propojitelných a využitelných</w:t>
      </w:r>
      <w:r w:rsidRPr="002746E2">
        <w:t xml:space="preserve"> v evropském </w:t>
      </w:r>
      <w:r w:rsidRPr="002746E2">
        <w:rPr>
          <w:i/>
          <w:iCs/>
        </w:rPr>
        <w:t>prostoru</w:t>
      </w:r>
    </w:p>
    <w:p w14:paraId="4D193505" w14:textId="78D9B452" w:rsidR="1E19011B" w:rsidRDefault="795ECF4A" w:rsidP="2D6C39D6">
      <w:pPr>
        <w:pStyle w:val="DTlotextu1"/>
        <w:rPr>
          <w:lang w:val="cs"/>
        </w:rPr>
      </w:pPr>
      <w:r w:rsidRPr="2D6C39D6">
        <w:rPr>
          <w:lang w:val="cs"/>
        </w:rPr>
        <w:t xml:space="preserve">Návrh vyhlášky, byť se týká </w:t>
      </w:r>
      <w:r w:rsidR="49644C19" w:rsidRPr="2D6C39D6">
        <w:rPr>
          <w:lang w:val="cs"/>
        </w:rPr>
        <w:t xml:space="preserve">i </w:t>
      </w:r>
      <w:r w:rsidRPr="2D6C39D6">
        <w:rPr>
          <w:lang w:val="cs"/>
        </w:rPr>
        <w:t>mezinárodní spolupráce, neupravuje budování služeb propojitelných a využitelných v evropském prostoru.</w:t>
      </w:r>
    </w:p>
    <w:p w14:paraId="2B644EAA" w14:textId="77777777" w:rsidR="00A05A40" w:rsidRPr="002746E2" w:rsidRDefault="1E19011B" w:rsidP="2D6C39D6">
      <w:pPr>
        <w:pStyle w:val="Nadpis4"/>
        <w:keepNext w:val="0"/>
        <w:rPr>
          <w:i/>
          <w:iCs/>
        </w:rPr>
      </w:pPr>
      <w:r w:rsidRPr="002746E2">
        <w:rPr>
          <w:i/>
          <w:iCs/>
        </w:rPr>
        <w:t>15.7. Ochrana osobních údajů v míře umožňující kvalitní služby (princip nařízení o ochraně</w:t>
      </w:r>
      <w:r w:rsidRPr="002746E2">
        <w:t xml:space="preserve"> </w:t>
      </w:r>
      <w:r w:rsidRPr="002746E2">
        <w:rPr>
          <w:i/>
          <w:iCs/>
        </w:rPr>
        <w:t>osobních údajů)</w:t>
      </w:r>
    </w:p>
    <w:p w14:paraId="422AA327" w14:textId="52E796FD" w:rsidR="00A05A40" w:rsidRPr="002746E2" w:rsidRDefault="1E19011B" w:rsidP="2D6C39D6">
      <w:pPr>
        <w:pStyle w:val="DTlotextu1"/>
        <w:widowControl w:val="0"/>
      </w:pPr>
      <w:r w:rsidRPr="002746E2">
        <w:t>Navrhovaná právní úprava je plně v souladu s touto zásadou.</w:t>
      </w:r>
    </w:p>
    <w:p w14:paraId="78C1EF5F" w14:textId="77777777" w:rsidR="00A05A40" w:rsidRPr="002746E2" w:rsidRDefault="1E19011B" w:rsidP="2D6C39D6">
      <w:pPr>
        <w:pStyle w:val="Nadpis4"/>
        <w:keepNext w:val="0"/>
        <w:spacing w:after="120"/>
        <w:rPr>
          <w:i/>
          <w:iCs/>
        </w:rPr>
      </w:pPr>
      <w:r w:rsidRPr="002746E2">
        <w:rPr>
          <w:i/>
          <w:iCs/>
        </w:rPr>
        <w:t>15.8. Otevřenost a transparentnost včetně otevřených dat a služeb (princip open government)</w:t>
      </w:r>
    </w:p>
    <w:p w14:paraId="43091868" w14:textId="77777777" w:rsidR="00A05A40" w:rsidRPr="002746E2" w:rsidRDefault="1E19011B" w:rsidP="2D6C39D6">
      <w:pPr>
        <w:pStyle w:val="DTlotextu1"/>
        <w:widowControl w:val="0"/>
      </w:pPr>
      <w:r w:rsidRPr="002746E2">
        <w:t>Zásada otevřenosti a transparentnosti je navrhovanou právní úpravou naplněna v mezích základních zásad správy daní podle daňového řádu. Navrhovaná právní úprava jako taková žádným způsobem neomezuje otevřenost a transparentnost.</w:t>
      </w:r>
    </w:p>
    <w:p w14:paraId="4EFA223A" w14:textId="77777777" w:rsidR="00A05A40" w:rsidRPr="002746E2" w:rsidRDefault="1E19011B" w:rsidP="2D6C39D6">
      <w:pPr>
        <w:pStyle w:val="Nadpis4"/>
        <w:keepNext w:val="0"/>
        <w:spacing w:after="120"/>
        <w:rPr>
          <w:i/>
          <w:iCs/>
        </w:rPr>
      </w:pPr>
      <w:r w:rsidRPr="002746E2">
        <w:rPr>
          <w:i/>
          <w:iCs/>
        </w:rPr>
        <w:t>15.9. Technologická neutralita</w:t>
      </w:r>
    </w:p>
    <w:p w14:paraId="6CFFD9BE" w14:textId="199842A7" w:rsidR="00A05A40" w:rsidRPr="002746E2" w:rsidRDefault="1E19011B" w:rsidP="2D6C39D6">
      <w:pPr>
        <w:pStyle w:val="DTlotextu1"/>
        <w:widowControl w:val="0"/>
      </w:pPr>
      <w:r w:rsidRPr="002746E2">
        <w:t xml:space="preserve">Návrh vyhlášky </w:t>
      </w:r>
      <w:r w:rsidR="57EBD3C5" w:rsidRPr="002746E2">
        <w:t xml:space="preserve">nijak </w:t>
      </w:r>
      <w:r w:rsidRPr="002746E2">
        <w:t xml:space="preserve">nestanovuje ani neupravuje technické či technologické prostředky. </w:t>
      </w:r>
    </w:p>
    <w:p w14:paraId="2E514396" w14:textId="77777777" w:rsidR="00A05A40" w:rsidRPr="002746E2" w:rsidRDefault="1E19011B" w:rsidP="2D6C39D6">
      <w:pPr>
        <w:pStyle w:val="Nadpis4"/>
        <w:keepNext w:val="0"/>
        <w:spacing w:after="120"/>
        <w:rPr>
          <w:i/>
          <w:iCs/>
        </w:rPr>
      </w:pPr>
      <w:r w:rsidRPr="002746E2">
        <w:rPr>
          <w:i/>
          <w:iCs/>
        </w:rPr>
        <w:t>15.10. Uživatelská přívětivost</w:t>
      </w:r>
    </w:p>
    <w:p w14:paraId="7E9AAB2E" w14:textId="34819B35" w:rsidR="00A05A40" w:rsidRDefault="1E19011B" w:rsidP="00F2560A">
      <w:pPr>
        <w:pStyle w:val="DTlotextu1"/>
        <w:widowControl w:val="0"/>
      </w:pPr>
      <w:r w:rsidRPr="002746E2">
        <w:t xml:space="preserve">Navrhovaná úprava nepředpokládá v oblasti </w:t>
      </w:r>
      <w:r w:rsidR="22F8F6FE" w:rsidRPr="002746E2">
        <w:t>činění formulářových podání při správě daní</w:t>
      </w:r>
      <w:r w:rsidRPr="002746E2">
        <w:t xml:space="preserve"> odchylky od obecné právní úpravy při správě daní, poplatků, cel a jiných obdobných peněžitých plnění ani </w:t>
      </w:r>
      <w:r w:rsidR="57EBD3C5" w:rsidRPr="002746E2">
        <w:t xml:space="preserve">od </w:t>
      </w:r>
      <w:r w:rsidRPr="002746E2">
        <w:t>praxe správců daně.</w:t>
      </w:r>
      <w:r w:rsidRPr="2D6C39D6">
        <w:rPr>
          <w:highlight w:val="red"/>
        </w:rPr>
        <w:t xml:space="preserve"> </w:t>
      </w:r>
    </w:p>
    <w:p w14:paraId="4BD43324" w14:textId="77777777" w:rsidR="00A05A40" w:rsidRPr="009C4E06" w:rsidRDefault="00A05A40" w:rsidP="00F2560A">
      <w:pPr>
        <w:widowControl w:val="0"/>
        <w:tabs>
          <w:tab w:val="left" w:pos="6660"/>
        </w:tabs>
        <w:spacing w:after="120"/>
        <w:jc w:val="both"/>
      </w:pPr>
    </w:p>
    <w:p w14:paraId="48E1E3BF" w14:textId="1D81DD2F" w:rsidR="009F3C91" w:rsidRDefault="00FE6F9D" w:rsidP="00F2560A">
      <w:pPr>
        <w:widowControl w:val="0"/>
        <w:spacing w:before="120" w:after="120"/>
        <w:jc w:val="center"/>
        <w:rPr>
          <w:b/>
          <w:bCs/>
          <w:iCs/>
          <w:sz w:val="28"/>
          <w:szCs w:val="28"/>
        </w:rPr>
      </w:pPr>
      <w:r w:rsidRPr="009C4E06">
        <w:rPr>
          <w:rFonts w:eastAsia="Calibri"/>
          <w:lang w:eastAsia="en-US"/>
        </w:rPr>
        <w:br w:type="page"/>
      </w:r>
      <w:r w:rsidR="00FB669C" w:rsidRPr="00362637">
        <w:rPr>
          <w:b/>
          <w:bCs/>
          <w:iCs/>
          <w:sz w:val="28"/>
          <w:szCs w:val="28"/>
        </w:rPr>
        <w:lastRenderedPageBreak/>
        <w:t xml:space="preserve">II. </w:t>
      </w:r>
      <w:r w:rsidR="009F3C91" w:rsidRPr="00362637">
        <w:rPr>
          <w:b/>
          <w:bCs/>
          <w:iCs/>
          <w:sz w:val="28"/>
          <w:szCs w:val="28"/>
        </w:rPr>
        <w:t>Zvláštní část</w:t>
      </w:r>
    </w:p>
    <w:p w14:paraId="005E807E" w14:textId="77777777" w:rsidR="00080508" w:rsidRDefault="00080508" w:rsidP="00080508">
      <w:pPr>
        <w:pStyle w:val="Dvodovzprvakparagrafu"/>
      </w:pPr>
      <w:r>
        <w:t>K § 1</w:t>
      </w:r>
    </w:p>
    <w:p w14:paraId="447416BF" w14:textId="77777777" w:rsidR="00080508" w:rsidRPr="0096258B" w:rsidRDefault="00080508" w:rsidP="00080508">
      <w:pPr>
        <w:pStyle w:val="Dvodovzprvakparagrafu"/>
        <w:rPr>
          <w:b w:val="0"/>
          <w:sz w:val="22"/>
        </w:rPr>
      </w:pPr>
      <w:r w:rsidRPr="0096258B">
        <w:rPr>
          <w:b w:val="0"/>
          <w:sz w:val="22"/>
        </w:rPr>
        <w:t xml:space="preserve">Předmětnou vyhláškou dochází ke kodifikaci několika věcně úzce svázaných témat vyplývajících z několika zmocňovacích ustanovení normovaných v různých zákonech. Daný koncept je zvolen z důvodu zvýšení přehlednosti </w:t>
      </w:r>
      <w:r>
        <w:rPr>
          <w:b w:val="0"/>
          <w:sz w:val="22"/>
        </w:rPr>
        <w:t> </w:t>
      </w:r>
      <w:r w:rsidRPr="0096258B">
        <w:rPr>
          <w:b w:val="0"/>
          <w:sz w:val="22"/>
        </w:rPr>
        <w:t xml:space="preserve"> komplexního tématu tzv. informačního přehledu k dorovnávací dani, v anglickém jazyce „GloBE Infomation Return“ (dále též „GIR“) pro adresáty normy.</w:t>
      </w:r>
    </w:p>
    <w:p w14:paraId="34998756" w14:textId="77777777" w:rsidR="00080508" w:rsidRPr="0096258B" w:rsidRDefault="00080508" w:rsidP="00080508">
      <w:pPr>
        <w:pStyle w:val="Dvodovzprvakparagrafu"/>
        <w:rPr>
          <w:b w:val="0"/>
          <w:sz w:val="22"/>
          <w:szCs w:val="22"/>
        </w:rPr>
      </w:pPr>
      <w:r w:rsidRPr="439611CD">
        <w:rPr>
          <w:b w:val="0"/>
          <w:sz w:val="22"/>
          <w:szCs w:val="22"/>
        </w:rPr>
        <w:t>V prvé řadě dochází právě k legislativnímu zakotvení GIR, který je zákonem č. 416/2023 Sb.</w:t>
      </w:r>
      <w:r>
        <w:rPr>
          <w:b w:val="0"/>
          <w:sz w:val="22"/>
          <w:szCs w:val="22"/>
        </w:rPr>
        <w:t>,</w:t>
      </w:r>
      <w:r w:rsidRPr="439611CD">
        <w:rPr>
          <w:b w:val="0"/>
          <w:sz w:val="22"/>
          <w:szCs w:val="22"/>
        </w:rPr>
        <w:t xml:space="preserve"> o dorovnávacích daních pro velké nadnárodní skupiny a velké vnitrostátní skupiny, ve znění novely (sněmovní tisk 783), která v tuto chvíli prochází legislativním procesem (dále jen „ZDD“) označen jako formulářové podání, viz</w:t>
      </w:r>
      <w:r>
        <w:rPr>
          <w:b w:val="0"/>
          <w:sz w:val="22"/>
          <w:szCs w:val="22"/>
        </w:rPr>
        <w:t>te</w:t>
      </w:r>
      <w:r w:rsidRPr="439611CD">
        <w:rPr>
          <w:b w:val="0"/>
          <w:sz w:val="22"/>
          <w:szCs w:val="22"/>
        </w:rPr>
        <w:t xml:space="preserve"> § 129 odst. 3 ZDD ve spojitosti s § 72 zákona č. 280/2009 Sb., daňový řád, ve znění pozdějších předpisů (dále jen „daňový řád“), a je jednou  z informačních povinností poplatníka dorovnávací daně vyplývající z kapitoly 8 modelových pravidel Organizace pro hospodářskou spolupráci a rozvoj (OECD), v anglickém jazyce nazývané „GloBE Model Rules“ (dále též „modelová pravidla“), která byla do ZDD zakotvena prostřednictvím implementace Směrnice Rady (EU) 2022/2523 ze dne 14. prosince 2022 o zajištění globální minimální úrovně zdanění nadnárodních skupin podniků a velkých vnitrostátních skupin v Unii. Zároveň v rámci vyhlášky dochází k zakotvení formulářového podání ve formě daňového přiznání k dorovnávací dani (§ 132 ZDD ve spojitosti s § 72 daňového řádu).</w:t>
      </w:r>
    </w:p>
    <w:p w14:paraId="00E9D054" w14:textId="77777777" w:rsidR="00080508" w:rsidRDefault="00080508" w:rsidP="00080508">
      <w:pPr>
        <w:pStyle w:val="Dvodovzprvakparagrafu"/>
        <w:rPr>
          <w:b w:val="0"/>
          <w:sz w:val="22"/>
        </w:rPr>
      </w:pPr>
      <w:r w:rsidRPr="0096258B">
        <w:rPr>
          <w:b w:val="0"/>
          <w:sz w:val="22"/>
        </w:rPr>
        <w:t>Dále dochází též k zakotvení rozsahu informací předávaných ústředním kontaktním orgánem v rámci automatické výměny GIR (viz</w:t>
      </w:r>
      <w:r>
        <w:rPr>
          <w:b w:val="0"/>
          <w:sz w:val="22"/>
        </w:rPr>
        <w:t>te</w:t>
      </w:r>
      <w:r w:rsidRPr="0096258B">
        <w:rPr>
          <w:b w:val="0"/>
          <w:sz w:val="22"/>
        </w:rPr>
        <w:t xml:space="preserve"> zmocnění v § 15zy odst. 3 zákona č. 164/2013 Sb., o</w:t>
      </w:r>
      <w:r>
        <w:rPr>
          <w:b w:val="0"/>
          <w:sz w:val="22"/>
        </w:rPr>
        <w:t> </w:t>
      </w:r>
      <w:r w:rsidRPr="0096258B">
        <w:rPr>
          <w:b w:val="0"/>
          <w:sz w:val="22"/>
        </w:rPr>
        <w:t xml:space="preserve">mezinárodní spolupráci při správě daní a o změně dalších souvisejících </w:t>
      </w:r>
      <w:r w:rsidRPr="000E5A87">
        <w:rPr>
          <w:b w:val="0"/>
          <w:sz w:val="22"/>
        </w:rPr>
        <w:t>zákonů, ve znění</w:t>
      </w:r>
      <w:r>
        <w:rPr>
          <w:b w:val="0"/>
          <w:sz w:val="22"/>
        </w:rPr>
        <w:t xml:space="preserve"> </w:t>
      </w:r>
      <w:r w:rsidRPr="000E5A87">
        <w:rPr>
          <w:b w:val="0"/>
          <w:sz w:val="22"/>
        </w:rPr>
        <w:t>novely (sněmovní tisk 974), která v tuto chvíli prochází legislativním procesem</w:t>
      </w:r>
      <w:r>
        <w:rPr>
          <w:b w:val="0"/>
          <w:sz w:val="22"/>
        </w:rPr>
        <w:t>.</w:t>
      </w:r>
      <w:r w:rsidRPr="000E5A87">
        <w:t xml:space="preserve"> </w:t>
      </w:r>
      <w:r w:rsidRPr="00661DC6">
        <w:rPr>
          <w:b w:val="0"/>
          <w:sz w:val="22"/>
          <w:highlight w:val="cyan"/>
        </w:rPr>
        <w:t xml:space="preserve"> </w:t>
      </w:r>
    </w:p>
    <w:p w14:paraId="24E9D114" w14:textId="77777777" w:rsidR="00080508" w:rsidRPr="0096258B" w:rsidRDefault="00080508" w:rsidP="00080508">
      <w:pPr>
        <w:pStyle w:val="Dvodovzprvakparagrafu"/>
        <w:rPr>
          <w:b w:val="0"/>
          <w:sz w:val="22"/>
        </w:rPr>
      </w:pPr>
      <w:r>
        <w:rPr>
          <w:b w:val="0"/>
          <w:sz w:val="22"/>
        </w:rPr>
        <w:t>R</w:t>
      </w:r>
      <w:r w:rsidRPr="0096258B">
        <w:rPr>
          <w:b w:val="0"/>
          <w:sz w:val="22"/>
        </w:rPr>
        <w:t xml:space="preserve">ozsah předávaných informací </w:t>
      </w:r>
      <w:r>
        <w:rPr>
          <w:b w:val="0"/>
          <w:sz w:val="22"/>
        </w:rPr>
        <w:t xml:space="preserve">se </w:t>
      </w:r>
      <w:r w:rsidRPr="0096258B">
        <w:rPr>
          <w:b w:val="0"/>
          <w:sz w:val="22"/>
        </w:rPr>
        <w:t xml:space="preserve">jak v rámci </w:t>
      </w:r>
      <w:r>
        <w:rPr>
          <w:b w:val="0"/>
          <w:sz w:val="22"/>
        </w:rPr>
        <w:t>s</w:t>
      </w:r>
      <w:r w:rsidRPr="0096258B">
        <w:rPr>
          <w:b w:val="0"/>
          <w:sz w:val="22"/>
        </w:rPr>
        <w:t>měrnice Rady (EU) 2025/872 ze dne 14. dubna 2025, kterou se mění směrnice 2011/16/EU o správní spolupráci v oblasti daní (dále jen „DAC9“), tak v rámci dokumentů OECD</w:t>
      </w:r>
      <w:r>
        <w:rPr>
          <w:b w:val="0"/>
          <w:sz w:val="22"/>
        </w:rPr>
        <w:t>,</w:t>
      </w:r>
      <w:r w:rsidRPr="0096258B">
        <w:rPr>
          <w:b w:val="0"/>
          <w:sz w:val="22"/>
        </w:rPr>
        <w:t xml:space="preserve"> označuje pojmem „</w:t>
      </w:r>
      <w:r>
        <w:rPr>
          <w:b w:val="0"/>
          <w:sz w:val="22"/>
        </w:rPr>
        <w:t>způsob šíření informací/</w:t>
      </w:r>
      <w:r w:rsidRPr="0096258B">
        <w:rPr>
          <w:b w:val="0"/>
          <w:sz w:val="22"/>
        </w:rPr>
        <w:t xml:space="preserve">dissemination approach“. Prostřednictvím </w:t>
      </w:r>
      <w:r>
        <w:rPr>
          <w:b w:val="0"/>
          <w:sz w:val="22"/>
        </w:rPr>
        <w:t>tohoto způsobu šíření informací</w:t>
      </w:r>
      <w:r w:rsidRPr="0096258B">
        <w:rPr>
          <w:b w:val="0"/>
          <w:sz w:val="22"/>
        </w:rPr>
        <w:t xml:space="preserve"> dochází k upřesnění provádění automatické výměny informací podle čl. 8.1.2 modelových pravidel, kter</w:t>
      </w:r>
      <w:r>
        <w:rPr>
          <w:b w:val="0"/>
          <w:sz w:val="22"/>
        </w:rPr>
        <w:t>á</w:t>
      </w:r>
      <w:r w:rsidRPr="0096258B">
        <w:rPr>
          <w:b w:val="0"/>
          <w:sz w:val="22"/>
        </w:rPr>
        <w:t xml:space="preserve"> umožňuje poplatníkovi při splnění podmínek splnit povinnost podat GIR podle čl. 8.1.1 modelových pravidel i prostřednictvím jeho podání příslušnou entitou v zahraničí.</w:t>
      </w:r>
    </w:p>
    <w:p w14:paraId="3906A656" w14:textId="77777777" w:rsidR="00080508" w:rsidRPr="0096258B" w:rsidRDefault="00080508" w:rsidP="00080508">
      <w:pPr>
        <w:pStyle w:val="Dvodovzprvakparagrafu"/>
        <w:rPr>
          <w:b w:val="0"/>
          <w:sz w:val="22"/>
          <w:szCs w:val="22"/>
        </w:rPr>
      </w:pPr>
      <w:r w:rsidRPr="6298B67A">
        <w:rPr>
          <w:b w:val="0"/>
          <w:sz w:val="22"/>
          <w:szCs w:val="22"/>
        </w:rPr>
        <w:t>Řešení formou implementace ve vyhlášce je zvoleno z důvodu úzké provázanosti způsobu šíření informací na samotnou šablonu informačního přehledu. Způsob šíření informací totiž neslouží pouze orgánu provádějícímu automatickou výměnu informací, ale především daňovému poplatníkovi, kterému způsob šíření informací indikuje, které části informačního přehledu od něj správce daně očekává (a které části má tudíž vyplnit a podat ve vztahu ke konkrétnímu státu, v tomto případě ČR).</w:t>
      </w:r>
    </w:p>
    <w:p w14:paraId="4F280DD1" w14:textId="77777777" w:rsidR="00080508" w:rsidRPr="0096258B" w:rsidRDefault="00080508" w:rsidP="00080508">
      <w:pPr>
        <w:pStyle w:val="Dvodovzprvakparagrafu"/>
        <w:rPr>
          <w:b w:val="0"/>
          <w:sz w:val="22"/>
          <w:szCs w:val="22"/>
        </w:rPr>
      </w:pPr>
      <w:r w:rsidRPr="6298B67A">
        <w:rPr>
          <w:b w:val="0"/>
          <w:sz w:val="22"/>
          <w:szCs w:val="22"/>
        </w:rPr>
        <w:t>Výše uvedeným zároveň dochází k transpozici DAC9 v rozsahu čl. 8ae odst. 2, který obsahuje právě zmíněný způsob šíření informací, resp. v rozsahu přílohy k DAC9, která upravuje pravidla pro podávání informačního přehledu k dorovnávací dani a jeho standardní šablonu (Příloha VII, Oddíl IV)</w:t>
      </w:r>
      <w:r>
        <w:rPr>
          <w:b w:val="0"/>
          <w:sz w:val="22"/>
          <w:szCs w:val="22"/>
        </w:rPr>
        <w:t>,</w:t>
      </w:r>
      <w:r w:rsidRPr="6298B67A">
        <w:rPr>
          <w:b w:val="0"/>
          <w:sz w:val="22"/>
          <w:szCs w:val="22"/>
        </w:rPr>
        <w:t xml:space="preserve"> a v rozsahu přílohy DAC9, která upravuje podrobnosti vztahující se k</w:t>
      </w:r>
      <w:r>
        <w:rPr>
          <w:b w:val="0"/>
          <w:sz w:val="22"/>
          <w:szCs w:val="22"/>
        </w:rPr>
        <w:t> </w:t>
      </w:r>
      <w:r w:rsidRPr="6298B67A">
        <w:rPr>
          <w:b w:val="0"/>
          <w:sz w:val="22"/>
          <w:szCs w:val="22"/>
        </w:rPr>
        <w:t xml:space="preserve">informačnímu přehledu a jeho částem a dalším náležitostem jeho podávání (Příloha VII, Oddíl I – body 4, 5 a 6, Oddíl II, Oddíl III). </w:t>
      </w:r>
    </w:p>
    <w:p w14:paraId="4EA6E18B" w14:textId="77777777" w:rsidR="00080508" w:rsidRPr="0096258B" w:rsidRDefault="00080508" w:rsidP="00080508">
      <w:pPr>
        <w:pStyle w:val="Dvodovzprvakparagrafu"/>
        <w:rPr>
          <w:b w:val="0"/>
          <w:sz w:val="22"/>
          <w:szCs w:val="22"/>
        </w:rPr>
      </w:pPr>
      <w:r w:rsidRPr="6298B67A">
        <w:rPr>
          <w:b w:val="0"/>
          <w:sz w:val="22"/>
          <w:szCs w:val="22"/>
        </w:rPr>
        <w:t>Způsob šíření informací, který je v DAC9 omezen pouze na sdílení informací mezi členskými státy EU, vychází z Mnohostranné dohody příslušných orgánů o automatické výměně informací GloBE (Multilateral Competent Authority Agreement on the Exchange of GloBE Information, tzv. GIR MCAA), podle níž bude probíhat sdílení informací z GIR v rámci automatické výměny se třetími státy, konkrétně z jejího oddílu 1 písm. f). Podrobnosti způsobu šíření informací jsou dále rozvedeny v příslušném komentáři ke GIR MCAA a rovněž v dokumentu OECD Tax Challenges Arising from the Digitalisation of the Economy – GloBE Information Return (January 2025) ze dne 15. ledna 2025</w:t>
      </w:r>
      <w:r w:rsidRPr="6298B67A">
        <w:rPr>
          <w:rStyle w:val="Znakapoznpodarou"/>
          <w:b w:val="0"/>
          <w:sz w:val="22"/>
          <w:szCs w:val="22"/>
        </w:rPr>
        <w:footnoteReference w:id="1"/>
      </w:r>
      <w:r w:rsidRPr="6298B67A">
        <w:rPr>
          <w:b w:val="0"/>
          <w:sz w:val="22"/>
          <w:szCs w:val="22"/>
        </w:rPr>
        <w:t xml:space="preserve"> (dále </w:t>
      </w:r>
      <w:r w:rsidRPr="6298B67A">
        <w:rPr>
          <w:b w:val="0"/>
          <w:sz w:val="22"/>
          <w:szCs w:val="22"/>
        </w:rPr>
        <w:lastRenderedPageBreak/>
        <w:t>jen „GIR dokument OECD“), a to konkrétně v odst. 17 až 31. GIR dokument OECD zároveň na úrovni OECD kodifikuje i samotný GIR, jehož šablona je v rámci přílohy DAC9 z tohoto dokumentu převzata.</w:t>
      </w:r>
    </w:p>
    <w:p w14:paraId="73276A6F" w14:textId="77777777" w:rsidR="00080508" w:rsidRPr="00661DC6" w:rsidRDefault="00080508" w:rsidP="00080508">
      <w:pPr>
        <w:pStyle w:val="Dvodovzprva"/>
      </w:pPr>
      <w:r>
        <w:t>Koncepčně lze rozsah formulářové vyhlášky rovněž přirovnat právě ke GIR dokumentu OECD, ze kterého je nutné pro řádné provedení implementace GIR převzít i další ustanovení (kromě šablony GIR), konkrétně vysvětlivky k jednotlivým položkám šablony GIR, uvedené v příloze A2., tzv. vysvětlující pokyny k informačnímu přehledu GloBE /explanatory guidance to the GIR (které součástí DAC9 nejsou), stejně tak podrobnosti uplatnění tzv. „přechodného zjednodušeného rámce pro vykazování/simplified jurisdictional reporting framework“, což je zjednodušený způsob vykazování informací v GIR v přechodném období, jehož podrobnosti rovněž v DAC9 uvedeny nejsou (vizte odst. 8 – 16 GIR dokumentu OECD, resp. odst. 51 v Kapitole 3 v Příloze A Konsolidovaného komentáře k modelovým pravidlům ze dne 9. května 2025 v případě použití pro účely kvalifikované vnitrostátní dorovnávací daně), a rovněž další podrobnosti týkající se podávání GIR českým poplatníkem dorovnávací daně, resp. týkající se vymezení informačního přehledu k české dorovnávací dani.</w:t>
      </w:r>
    </w:p>
    <w:p w14:paraId="4A2B1577" w14:textId="77777777" w:rsidR="00080508" w:rsidRPr="00661DC6" w:rsidRDefault="00080508" w:rsidP="00080508">
      <w:pPr>
        <w:pStyle w:val="Dvodovzprva"/>
      </w:pPr>
      <w:r>
        <w:t>Přístup spočívající v doplnění vyhlášky o další relevantní skutečnosti související se samotným GIR rovněž předjímá samotná směrnice DAC9 (srov. bod 16 recitálu). Toto doplnění je zá</w:t>
      </w:r>
      <w:r w:rsidRPr="00643C7A">
        <w:rPr>
          <w:rStyle w:val="DvodovzprvaChar"/>
        </w:rPr>
        <w:t>roveň nutné pro rozumné fungování podávání a výměny GIR.</w:t>
      </w:r>
    </w:p>
    <w:p w14:paraId="71E35ADB" w14:textId="77777777" w:rsidR="00080508" w:rsidRDefault="00080508" w:rsidP="00080508">
      <w:pPr>
        <w:pStyle w:val="Dvodovzprvakparagrafu"/>
      </w:pPr>
      <w:r>
        <w:t>K § 2</w:t>
      </w:r>
    </w:p>
    <w:p w14:paraId="3A218197" w14:textId="77777777" w:rsidR="00080508" w:rsidRDefault="00080508" w:rsidP="00080508">
      <w:pPr>
        <w:pStyle w:val="Dvodovzprva"/>
      </w:pPr>
      <w:r w:rsidRPr="001221B1">
        <w:t>Ustanovení obsahuje výčet obsahových struktur (dříve vzorů) formulářových podání, která jsou vyhláškou upravena, a to v členění dle jednotlivých příloh.</w:t>
      </w:r>
      <w:r>
        <w:t xml:space="preserve"> </w:t>
      </w:r>
      <w:r w:rsidRPr="00E321F1">
        <w:t>Výslovně je stanoveno, že součástí</w:t>
      </w:r>
      <w:r w:rsidRPr="000800FD">
        <w:t xml:space="preserve"> </w:t>
      </w:r>
      <w:r>
        <w:t>obsahové struktury</w:t>
      </w:r>
      <w:r w:rsidRPr="000800FD">
        <w:t xml:space="preserve"> jsou též pokyny pro</w:t>
      </w:r>
      <w:r>
        <w:t> </w:t>
      </w:r>
      <w:r w:rsidRPr="000800FD">
        <w:t>vyplnění formuláře</w:t>
      </w:r>
      <w:r>
        <w:t>, pokud je jejich normování třeba.</w:t>
      </w:r>
    </w:p>
    <w:p w14:paraId="3275456A" w14:textId="77777777" w:rsidR="00080508" w:rsidRDefault="00080508" w:rsidP="00080508">
      <w:pPr>
        <w:pStyle w:val="Dvodovzprvaklnku"/>
      </w:pPr>
      <w:r>
        <w:t>K § 3</w:t>
      </w:r>
    </w:p>
    <w:p w14:paraId="57F4B8E4" w14:textId="77777777" w:rsidR="00080508" w:rsidRDefault="00080508" w:rsidP="00080508">
      <w:pPr>
        <w:pStyle w:val="Dvodovzprva"/>
      </w:pPr>
      <w:r>
        <w:t>Formulářové podání k dorovnávacím daním (včetně informačního přehledu) lze podat pouze elektronicky (což vyplývá již z § 128 zákona o dorovnávacích daních). OECD současně vyvinula standardizované XML schéma</w:t>
      </w:r>
      <w:r>
        <w:rPr>
          <w:rStyle w:val="Znakapoznpodarou"/>
          <w:i/>
        </w:rPr>
        <w:footnoteReference w:id="2"/>
      </w:r>
      <w:r>
        <w:t xml:space="preserve"> a pokyny k němu</w:t>
      </w:r>
      <w:r>
        <w:rPr>
          <w:rStyle w:val="Znakapoznpodarou"/>
          <w:i/>
        </w:rPr>
        <w:footnoteReference w:id="3"/>
      </w:r>
      <w:r>
        <w:t>, které slouží jako nosič pro automatickou výměnu informací v informačním přehledu. Zároveň se předpokládá, že Evropská komise na základě zmocnění ve směrnici DAC9 toto standardizované XML schéma převezme prostřednictvím příslušného prováděcího nařízení. XML schéma kopíruje šablonu informačního přehledu, a přestože je primárně vyvinuto za účelem hladkého a standardizovaného průběhu provádění automatické výměny informací, lze je bezesporu využít i pro provedení samotného podání od poplatníka směrem ke správci daně.</w:t>
      </w:r>
    </w:p>
    <w:p w14:paraId="6265E44F" w14:textId="77777777" w:rsidR="00080508" w:rsidRDefault="00080508" w:rsidP="00080508">
      <w:pPr>
        <w:pStyle w:val="Dvodovzprva"/>
      </w:pPr>
      <w:r>
        <w:t>Za účelem maximálního zefektivnění procesu podávání (a výměny) informačního přehledu je proto s ohledem na požadavek výhradně elektronické formy podání zvoleno řešení spočívající v podávání informačního přehledu výhradně ve formátu XML. Nejedná se o nové řešení, ale tento přístup je zvolen např. i v rámci § 4 vyhlášky č. 525/2020 Sb., o formulářových podáních pro daně z příjmů, ve znění pozdějších předpisů.</w:t>
      </w:r>
    </w:p>
    <w:p w14:paraId="79F49099" w14:textId="77777777" w:rsidR="00080508" w:rsidRPr="00674487" w:rsidRDefault="00080508" w:rsidP="00080508">
      <w:pPr>
        <w:pStyle w:val="Dvodovzprva"/>
      </w:pPr>
      <w:r>
        <w:t xml:space="preserve">V případě daňového přiznání se postupuje analogicky, tj. i zde platí, že je lze podat pouze elektronicky (podle § 128 zákona o dorovnávacích daních), a proto i zde „vzor“ tiskopisu daňového přiznání slouží pouze ke </w:t>
      </w:r>
      <w:r w:rsidRPr="0097226E">
        <w:t>stanovení podrobností údajů, které lze požadovat v</w:t>
      </w:r>
      <w:r>
        <w:t> </w:t>
      </w:r>
      <w:r w:rsidRPr="0097226E">
        <w:t>elektronické verzi formuláře</w:t>
      </w:r>
      <w:r>
        <w:t>, které bude reálně vyplňováno ve formátu XML.</w:t>
      </w:r>
    </w:p>
    <w:p w14:paraId="365C3EFC" w14:textId="77777777" w:rsidR="00080508" w:rsidRDefault="00080508" w:rsidP="00080508">
      <w:pPr>
        <w:pStyle w:val="Dvodovzprvakparagrafu"/>
      </w:pPr>
      <w:r>
        <w:t>K § 4</w:t>
      </w:r>
    </w:p>
    <w:p w14:paraId="0BE917B3" w14:textId="77777777" w:rsidR="00080508" w:rsidRPr="0092539E" w:rsidRDefault="00080508" w:rsidP="00080508">
      <w:pPr>
        <w:pStyle w:val="Dvodovzprvakparagrafu"/>
        <w:rPr>
          <w:b w:val="0"/>
          <w:sz w:val="22"/>
        </w:rPr>
      </w:pPr>
      <w:r w:rsidRPr="0092539E">
        <w:rPr>
          <w:b w:val="0"/>
          <w:sz w:val="22"/>
        </w:rPr>
        <w:t xml:space="preserve">Primárním cílem společných ustanovení je vyřešení vztahu mezi obsahovou strukturou konkrétního formuláře, jak je upravena v příslušné příloze vyhlášky, a jeho konečnou podobou z pohledu praktického uživatele, která je výsledkem transformace obsahové struktury do podoby datové struktury podání. </w:t>
      </w:r>
      <w:r>
        <w:rPr>
          <w:b w:val="0"/>
          <w:sz w:val="22"/>
        </w:rPr>
        <w:lastRenderedPageBreak/>
        <w:t>D</w:t>
      </w:r>
      <w:r w:rsidRPr="0092539E">
        <w:rPr>
          <w:b w:val="0"/>
          <w:sz w:val="22"/>
        </w:rPr>
        <w:t>atová struktura formuláře musí být souladn</w:t>
      </w:r>
      <w:r>
        <w:rPr>
          <w:b w:val="0"/>
          <w:sz w:val="22"/>
        </w:rPr>
        <w:t>á</w:t>
      </w:r>
      <w:r w:rsidRPr="0092539E">
        <w:rPr>
          <w:b w:val="0"/>
          <w:sz w:val="22"/>
        </w:rPr>
        <w:t xml:space="preserve"> s obsahovou strukturou upravenou v příslušné příloze vyhlášky. Na straně druhé však jejich výsledná vizuální a částečně i obsahová podoba nemusí být s obsahovou strukturou zcela formálně identická, pokud jsou pro odchylku splněny předvídané podmínky a obsahová struktura je respektována materiálně. Právě výčet případů uvedený v § 4 vyhlášky pokrývá případy předvídaných odchylek tiskopisu, resp. datové struktury od obsahové struktury uvedené v</w:t>
      </w:r>
      <w:r>
        <w:rPr>
          <w:b w:val="0"/>
          <w:sz w:val="22"/>
        </w:rPr>
        <w:t> </w:t>
      </w:r>
      <w:r w:rsidRPr="0092539E">
        <w:rPr>
          <w:b w:val="0"/>
          <w:sz w:val="22"/>
        </w:rPr>
        <w:t>příloze vyhlášky.</w:t>
      </w:r>
    </w:p>
    <w:p w14:paraId="083EF2D1" w14:textId="77777777" w:rsidR="00080508" w:rsidRPr="0092539E" w:rsidRDefault="00080508" w:rsidP="00080508">
      <w:pPr>
        <w:pStyle w:val="Dvodovzprvakparagrafu"/>
        <w:rPr>
          <w:b w:val="0"/>
          <w:sz w:val="22"/>
        </w:rPr>
      </w:pPr>
      <w:r w:rsidRPr="0092539E">
        <w:rPr>
          <w:b w:val="0"/>
          <w:sz w:val="22"/>
        </w:rPr>
        <w:t>Klíčové je v tomto zejména písm. c), které výslovně uvádí, že datová struktura se považuj</w:t>
      </w:r>
      <w:r>
        <w:rPr>
          <w:b w:val="0"/>
          <w:sz w:val="22"/>
        </w:rPr>
        <w:t>e</w:t>
      </w:r>
      <w:r w:rsidRPr="0092539E">
        <w:rPr>
          <w:b w:val="0"/>
          <w:sz w:val="22"/>
        </w:rPr>
        <w:t xml:space="preserve"> za souladn</w:t>
      </w:r>
      <w:r>
        <w:rPr>
          <w:b w:val="0"/>
          <w:sz w:val="22"/>
        </w:rPr>
        <w:t>ou</w:t>
      </w:r>
      <w:r w:rsidRPr="0092539E">
        <w:rPr>
          <w:b w:val="0"/>
          <w:sz w:val="22"/>
        </w:rPr>
        <w:t xml:space="preserve"> s obsahovou strukturou, pokud obsahuj</w:t>
      </w:r>
      <w:r>
        <w:rPr>
          <w:b w:val="0"/>
          <w:sz w:val="22"/>
        </w:rPr>
        <w:t>e</w:t>
      </w:r>
      <w:r w:rsidRPr="0092539E">
        <w:rPr>
          <w:b w:val="0"/>
          <w:sz w:val="22"/>
        </w:rPr>
        <w:t xml:space="preserve"> odchylky v části obsahu, jejímž předmětem není požadavek na uvedení povinně sdělovaných údajů. </w:t>
      </w:r>
      <w:r>
        <w:rPr>
          <w:b w:val="0"/>
          <w:sz w:val="22"/>
        </w:rPr>
        <w:t>D</w:t>
      </w:r>
      <w:r w:rsidRPr="0092539E">
        <w:rPr>
          <w:b w:val="0"/>
          <w:sz w:val="22"/>
        </w:rPr>
        <w:t>atová struktura tak především m</w:t>
      </w:r>
      <w:r>
        <w:rPr>
          <w:b w:val="0"/>
          <w:sz w:val="22"/>
        </w:rPr>
        <w:t>ůže</w:t>
      </w:r>
      <w:r w:rsidRPr="0092539E">
        <w:rPr>
          <w:b w:val="0"/>
          <w:sz w:val="22"/>
        </w:rPr>
        <w:t xml:space="preserve"> mít odlišnou vizuální podobu oproti zjednodušenému zpodobnění obsahové struktury ve vyhlášce (je tak například možné, aby tato vizuální podoba reflektovala odlišné vizuální styly vnější prezentace jednotlivých správních orgánů v postavení správců </w:t>
      </w:r>
      <w:r>
        <w:rPr>
          <w:b w:val="0"/>
          <w:sz w:val="22"/>
        </w:rPr>
        <w:t>daně). Současně může</w:t>
      </w:r>
      <w:r w:rsidRPr="0092539E">
        <w:rPr>
          <w:b w:val="0"/>
          <w:sz w:val="22"/>
        </w:rPr>
        <w:t xml:space="preserve"> datová struktura oproti obsahové struktuře obsahovat například též kolonky pro dobrovolné sdělování údajů (které nevyžadují normativní stanovení) či informativní texty poučující uživatele o některých objektivně daných skutečnostech.</w:t>
      </w:r>
    </w:p>
    <w:p w14:paraId="71F5E5A8" w14:textId="77777777" w:rsidR="00080508" w:rsidRPr="0092539E" w:rsidRDefault="00080508" w:rsidP="00080508">
      <w:pPr>
        <w:pStyle w:val="Dvodovzprvakparagrafu"/>
        <w:rPr>
          <w:b w:val="0"/>
          <w:sz w:val="22"/>
        </w:rPr>
      </w:pPr>
      <w:r w:rsidRPr="0092539E">
        <w:rPr>
          <w:b w:val="0"/>
          <w:sz w:val="22"/>
        </w:rPr>
        <w:t>Cílem je zde zajistit větší míru rozvolnění vizuální podoby formuláře ve vztahu k obsahové struktuře ve vyhlášce tak, aby prvky obsahové struktury, v jejichž případě zákon striktně vyžaduje normování právním předpisem, byly vždy důsledně respektovány, zatímco prvky datové struktury, pro které tento požadavek neplatí, mohly být flexibilně přizpůsobovány praktickým potřebám jednotlivých správců daně a subjektů, které dané podání mají činit.</w:t>
      </w:r>
    </w:p>
    <w:p w14:paraId="017864E8" w14:textId="77777777" w:rsidR="00080508" w:rsidRPr="0092539E" w:rsidRDefault="00080508" w:rsidP="00080508">
      <w:pPr>
        <w:pStyle w:val="Dvodovzprvakparagrafu"/>
        <w:rPr>
          <w:b w:val="0"/>
          <w:sz w:val="22"/>
        </w:rPr>
      </w:pPr>
      <w:r w:rsidRPr="0092539E">
        <w:rPr>
          <w:b w:val="0"/>
          <w:sz w:val="22"/>
        </w:rPr>
        <w:t>Dalšími výslovně zmíněnými případy odchylek mezi obsahovou strukturou formulářového podání a výsledn</w:t>
      </w:r>
      <w:r>
        <w:rPr>
          <w:b w:val="0"/>
          <w:sz w:val="22"/>
        </w:rPr>
        <w:t>ou d</w:t>
      </w:r>
      <w:r w:rsidRPr="0092539E">
        <w:rPr>
          <w:b w:val="0"/>
          <w:sz w:val="22"/>
        </w:rPr>
        <w:t xml:space="preserve">atovou strukturou jsou jazykové mutace formulářů </w:t>
      </w:r>
      <w:r>
        <w:rPr>
          <w:b w:val="0"/>
          <w:sz w:val="22"/>
        </w:rPr>
        <w:t xml:space="preserve">a </w:t>
      </w:r>
      <w:r w:rsidRPr="0092539E">
        <w:rPr>
          <w:b w:val="0"/>
          <w:sz w:val="22"/>
        </w:rPr>
        <w:t xml:space="preserve">verze formulářů, které jsou aktualizovány o </w:t>
      </w:r>
      <w:r>
        <w:rPr>
          <w:b w:val="0"/>
          <w:sz w:val="22"/>
        </w:rPr>
        <w:t>konkrétní údaj o časovém období</w:t>
      </w:r>
      <w:r w:rsidRPr="0092539E">
        <w:rPr>
          <w:b w:val="0"/>
          <w:sz w:val="22"/>
        </w:rPr>
        <w:t>.</w:t>
      </w:r>
    </w:p>
    <w:p w14:paraId="02C3C9F6" w14:textId="77777777" w:rsidR="00080508" w:rsidRPr="0092539E" w:rsidRDefault="00080508" w:rsidP="00080508">
      <w:pPr>
        <w:pStyle w:val="Dvodovzprvakparagrafu"/>
        <w:rPr>
          <w:b w:val="0"/>
          <w:sz w:val="22"/>
        </w:rPr>
      </w:pPr>
      <w:r w:rsidRPr="0092539E">
        <w:rPr>
          <w:b w:val="0"/>
          <w:sz w:val="22"/>
        </w:rPr>
        <w:t>Konečně vyhláška předpokládá, že soulad s obsahovou strukturou je zachován i v případě, že se od ní datová struktura odchyluj</w:t>
      </w:r>
      <w:r>
        <w:rPr>
          <w:b w:val="0"/>
          <w:sz w:val="22"/>
        </w:rPr>
        <w:t>e</w:t>
      </w:r>
      <w:r w:rsidRPr="0092539E">
        <w:rPr>
          <w:b w:val="0"/>
          <w:sz w:val="22"/>
        </w:rPr>
        <w:t xml:space="preserve"> v nezbytném rozsahu v </w:t>
      </w:r>
      <w:r w:rsidRPr="001B41C7">
        <w:rPr>
          <w:b w:val="0"/>
          <w:sz w:val="22"/>
        </w:rPr>
        <w:t>důsledku úpravy stanovené zákonem, přímo použitelným předpisem Evropské unie, modelovými pravidly nebo prováděcím rámcem k modelovým pravidlům OECD. Tento případ byl dosud dovozován výkladem na základě skutečnosti, že je třeba vždy respektovat předpis vyšší právní síly, nicméně nyní se navrhuje výslovné uvedení této výjimky v textu vyhlášky. Správce daně při určení a zveřejnění datové struktury elektronického formuláře musí</w:t>
      </w:r>
      <w:r w:rsidRPr="0092539E">
        <w:rPr>
          <w:b w:val="0"/>
          <w:sz w:val="22"/>
        </w:rPr>
        <w:t xml:space="preserve"> respektovat právními předpisy stanovený obsah formuláře. Ten je dán jednak aktuálním zněním příslušné vyhlášky, ale též aktuálním zněním zákonů vymezujících obsah daňové povinnosti largo sensu, tedy typicky i povinnosti tvrzení daně. V ideálním případě by aktuální znění obsahové struktury formuláře mělo být k dispozici v okamžiku, kdy je účinná změna zákona, která zapříčinila změnu obsahu formuláře. Takový stav je však fakticky nesplnitelný. V případě daňových zákonů totiž nezřídka dochází k jevu, kdy jsou příslušné změny přijímány s minimální legisvakancí, případně jsou činěny prostřednictvím inciativy poslanců či senátorů bez možnosti souběžné přípravy novely prováděcího předpisu. Existují i</w:t>
      </w:r>
      <w:r>
        <w:rPr>
          <w:b w:val="0"/>
          <w:sz w:val="22"/>
        </w:rPr>
        <w:t> </w:t>
      </w:r>
      <w:r w:rsidRPr="0092539E">
        <w:rPr>
          <w:b w:val="0"/>
          <w:sz w:val="22"/>
        </w:rPr>
        <w:t xml:space="preserve">případy, kdy jsou změny činěny zpětně v souladu se zásadou přípustnosti pravé retroaktivity ve prospěch jednotlivce. Samostatnou kapitolou pak jsou přímo použitelné evropské předpisy, které rovněž musejí být fakticky zohledněny v požívaných formulářích. V některých případech proto musí být aktualizace obsahových struktur uvedených ve vyhlášce prováděna ex post, zatímco aktualizace faktických obsahových struktur, resp. tiskopisů či datových struktur může operativně probíhat průběžně tak, jak ze strany autority odpovědné za aktualizaci obsahu formuláře dochází k promítnutí nastalých legislativních změn (v minulosti se tyto případy vyskytly např. u daně silniční měněné s účinností v průběhu zdaňovacího období ve prospěch daňového subjektu, či jsou pravidelně předpokládány v rámci relativně operativně měněné evropské legislativy k dani z přidané hodnoty). </w:t>
      </w:r>
    </w:p>
    <w:p w14:paraId="2C27A641" w14:textId="77777777" w:rsidR="00080508" w:rsidRPr="005F0B97" w:rsidRDefault="00080508" w:rsidP="00080508">
      <w:pPr>
        <w:pStyle w:val="Dvodovzprva"/>
      </w:pPr>
      <w:r w:rsidRPr="001B41C7">
        <w:t xml:space="preserve">Takovéto změny však vždy musejí mít oporu v příslušném právním předpise, tj. nemohou probíhat samovolně beze změny právního předpisu, která úpravu formuláře vynucuje. V souladu se zásadou vstřícnosti a spolupráce má správce daně při nastavení aktuální podoby elektronického formuláře mandát zohlednit případné změny zákona, které dosud nenalezly odraz v podobě novelizace příslušné vyhlášky. Platí tedy, že správce daně disponuje pravomocí poskytnout daňovým subjektům aktualizovaný formulář reflektující změny na zákonné úrovni a umožňující splnění zákonných povinností, a to i když není ještě aktualizována samotná vyhláška upravující uvedené obsahové struktury. Navazující formální aktualizace vyhlášek </w:t>
      </w:r>
      <w:r w:rsidRPr="001B41C7">
        <w:lastRenderedPageBreak/>
        <w:t>upravujících formulářová podání pak podle okolností nutně musí vykazovat větší či menší časový posun. Zahrnutí uvedeného případu mezi výslovně upravené odchylky v § 4 vyhlášky současně znamená, že i formulář obsahující tyto vyhláškou předvídané odchylky je právně závazný a vynutitelný.</w:t>
      </w:r>
    </w:p>
    <w:p w14:paraId="0821E052" w14:textId="77777777" w:rsidR="00080508" w:rsidRDefault="00080508" w:rsidP="00080508">
      <w:pPr>
        <w:pStyle w:val="Dvodovzprvakparagrafu"/>
      </w:pPr>
      <w:r w:rsidRPr="008D53EC">
        <w:t>K § 5</w:t>
      </w:r>
    </w:p>
    <w:p w14:paraId="16A766AC" w14:textId="77777777" w:rsidR="00080508" w:rsidRDefault="00080508" w:rsidP="00080508">
      <w:pPr>
        <w:pStyle w:val="Dvodovzprva"/>
      </w:pPr>
      <w:r>
        <w:t>Na základě zmocnění v § 15zy odst. 2 zákona č. 164/2013 Sb., ve znění pozdějších předpisů se stanoví odkaz na přílohu č. 3, ve které je uveden rozsah informací předávaných jednotlivým kontaktním místům.</w:t>
      </w:r>
    </w:p>
    <w:p w14:paraId="2F1A8B25" w14:textId="77777777" w:rsidR="00080508" w:rsidRDefault="00080508" w:rsidP="00080508">
      <w:pPr>
        <w:pStyle w:val="Dvodovzprvakparagrafu"/>
      </w:pPr>
      <w:r>
        <w:t>K § 6</w:t>
      </w:r>
    </w:p>
    <w:p w14:paraId="2858E48B" w14:textId="77777777" w:rsidR="00080508" w:rsidRPr="005F0B97" w:rsidRDefault="00080508" w:rsidP="00080508">
      <w:pPr>
        <w:pStyle w:val="Dvodovzprva"/>
      </w:pPr>
      <w:r w:rsidRPr="001221B1">
        <w:t>Účinnost návrhu vyhlášky se navrhuje dnem 1. ledna 2026, a to v souladu s účinností nového znění § 72 daňového řádu ve znění novely obsažené v celnickém balíčku.</w:t>
      </w:r>
    </w:p>
    <w:p w14:paraId="75447F5F" w14:textId="77777777" w:rsidR="00080508" w:rsidRDefault="00080508" w:rsidP="00080508">
      <w:pPr>
        <w:rPr>
          <w:rFonts w:ascii="Arial" w:hAnsi="Arial"/>
          <w:b/>
          <w:color w:val="0000FF"/>
          <w:sz w:val="28"/>
          <w:szCs w:val="28"/>
        </w:rPr>
      </w:pPr>
    </w:p>
    <w:p w14:paraId="5FD76405" w14:textId="77777777" w:rsidR="00080508" w:rsidRDefault="00080508" w:rsidP="00080508">
      <w:pPr>
        <w:pStyle w:val="Dvodovzprvaksti"/>
      </w:pPr>
      <w:r>
        <w:t>K příloze č. 1</w:t>
      </w:r>
    </w:p>
    <w:p w14:paraId="652509D4" w14:textId="77777777" w:rsidR="00080508" w:rsidRPr="00914E16" w:rsidRDefault="00080508" w:rsidP="00080508">
      <w:pPr>
        <w:pStyle w:val="Dvodovzprva"/>
      </w:pPr>
      <w:r w:rsidRPr="00914E16">
        <w:t>Příloha č. 1 obsahuje daňové přiznání k přiřazované a české dorovnávací dani a příslušné pokyny. Daňové přiznání tedy pokrývá obě dorovnávací daně dle ZDD, přičemž podle potřeby se vyplní příslušná příloha podle toho, zda se daňové přiznání vyplňuje pro účely české dorovnávací daně, či pro účely přiřazované dorovnávací daně, resp. jejích jednotlivých prvků (pravidlo pro zahrnutí zisku, pravidlo pro nedostatečně zdaněný zisk).</w:t>
      </w:r>
    </w:p>
    <w:p w14:paraId="58F6E713" w14:textId="77777777" w:rsidR="00080508" w:rsidRDefault="00080508" w:rsidP="00080508">
      <w:pPr>
        <w:pStyle w:val="Dvodovzprva"/>
      </w:pPr>
    </w:p>
    <w:p w14:paraId="130BB4AC" w14:textId="77777777" w:rsidR="00080508" w:rsidRDefault="00080508" w:rsidP="00080508">
      <w:pPr>
        <w:pStyle w:val="Dvodovzprvaksti"/>
      </w:pPr>
      <w:r>
        <w:t>K Příloze č. 2</w:t>
      </w:r>
    </w:p>
    <w:p w14:paraId="431EEC1F" w14:textId="77777777" w:rsidR="00080508" w:rsidRPr="00DC75B2" w:rsidRDefault="00080508" w:rsidP="00080508">
      <w:pPr>
        <w:pStyle w:val="Dvodovzprvakparagrafu"/>
        <w:rPr>
          <w:b w:val="0"/>
          <w:sz w:val="22"/>
          <w:szCs w:val="22"/>
        </w:rPr>
      </w:pPr>
      <w:r w:rsidRPr="36ECB6C2">
        <w:rPr>
          <w:b w:val="0"/>
          <w:sz w:val="22"/>
          <w:szCs w:val="22"/>
        </w:rPr>
        <w:t>V rámci vyhlášky je nutné vyjasnit, jak zacházet s informačním přehledem v různých kontextech. Samotný standardizovaný informační přehled (XML schéma) je totiž způsobilý sloužit všem druhům poplatníků, a to jak v případě přiřazované dorovnávací daně, tak v</w:t>
      </w:r>
      <w:r>
        <w:rPr>
          <w:b w:val="0"/>
          <w:sz w:val="22"/>
          <w:szCs w:val="22"/>
        </w:rPr>
        <w:t> </w:t>
      </w:r>
      <w:r w:rsidRPr="36ECB6C2">
        <w:rPr>
          <w:b w:val="0"/>
          <w:sz w:val="22"/>
          <w:szCs w:val="22"/>
        </w:rPr>
        <w:t>případě vnitrostátní dorovnávací daně (v případě ČR české dorovnávací daně), a to bez ohledu na to, zda se jedná o informační přehled podaný pro účely vyhodnocení daňové povinnosti českého poplatníka nebo o informační přehled určený k automatické výměně pro účely vyhodnocení daňové povinnosti poplatníků z jiných států v těchto jiných státech. Standardizovaná šablona informačního přehledu (XML schéma) je totiž uzpůsobena pro všechna tato podání.</w:t>
      </w:r>
    </w:p>
    <w:p w14:paraId="14553F99" w14:textId="77777777" w:rsidR="00080508" w:rsidRPr="00DC75B2" w:rsidRDefault="00080508" w:rsidP="00080508">
      <w:pPr>
        <w:pStyle w:val="Dvodovzprvakparagrafu"/>
        <w:rPr>
          <w:b w:val="0"/>
          <w:sz w:val="22"/>
          <w:szCs w:val="22"/>
        </w:rPr>
      </w:pPr>
      <w:r w:rsidRPr="0B65A813">
        <w:rPr>
          <w:b w:val="0"/>
          <w:sz w:val="22"/>
          <w:szCs w:val="22"/>
        </w:rPr>
        <w:t xml:space="preserve">V tomto ohledu je nutné v rámci vyhlášky vyjasnit několik skutečností, jejichž podrobnosti jsou uvedeny níže (resp. </w:t>
      </w:r>
      <w:r>
        <w:rPr>
          <w:b w:val="0"/>
          <w:sz w:val="22"/>
          <w:szCs w:val="22"/>
        </w:rPr>
        <w:t>v</w:t>
      </w:r>
      <w:r w:rsidRPr="0B65A813">
        <w:rPr>
          <w:b w:val="0"/>
          <w:sz w:val="22"/>
          <w:szCs w:val="22"/>
        </w:rPr>
        <w:t xml:space="preserve"> dalších částech této přílohy</w:t>
      </w:r>
      <w:r w:rsidRPr="4F5709E6">
        <w:rPr>
          <w:b w:val="0"/>
          <w:sz w:val="22"/>
          <w:szCs w:val="22"/>
        </w:rPr>
        <w:t>).</w:t>
      </w:r>
    </w:p>
    <w:p w14:paraId="25759E5C" w14:textId="77777777" w:rsidR="00080508" w:rsidRPr="00DC75B2" w:rsidRDefault="00080508" w:rsidP="00080508">
      <w:pPr>
        <w:pStyle w:val="Dvodovzprvakparagrafu"/>
        <w:rPr>
          <w:b w:val="0"/>
          <w:sz w:val="22"/>
          <w:szCs w:val="22"/>
        </w:rPr>
      </w:pPr>
      <w:r w:rsidRPr="15D2335D">
        <w:rPr>
          <w:b w:val="0"/>
          <w:sz w:val="22"/>
          <w:szCs w:val="22"/>
        </w:rPr>
        <w:t xml:space="preserve">V prvé řadě je nutné vymezit informační přehled k přiřazované dorovnávací dani a informační přehled k české dorovnávací dani. V rámci ZDD jsou totiž tyto dva informační přehledy normovány odděleně. Zároveň je nutné určit rozsah povinností </w:t>
      </w:r>
      <w:r w:rsidRPr="4F5709E6">
        <w:rPr>
          <w:b w:val="0"/>
          <w:sz w:val="22"/>
          <w:szCs w:val="22"/>
        </w:rPr>
        <w:t xml:space="preserve">poplatníka </w:t>
      </w:r>
      <w:r w:rsidRPr="15D2335D">
        <w:rPr>
          <w:b w:val="0"/>
          <w:sz w:val="22"/>
          <w:szCs w:val="22"/>
        </w:rPr>
        <w:t>podle § 129 zákona o</w:t>
      </w:r>
      <w:r>
        <w:rPr>
          <w:b w:val="0"/>
          <w:sz w:val="22"/>
          <w:szCs w:val="22"/>
        </w:rPr>
        <w:t> </w:t>
      </w:r>
      <w:r w:rsidRPr="15D2335D">
        <w:rPr>
          <w:b w:val="0"/>
          <w:sz w:val="22"/>
          <w:szCs w:val="22"/>
        </w:rPr>
        <w:t>dorovnávacích daních.</w:t>
      </w:r>
    </w:p>
    <w:p w14:paraId="2C48F7BB" w14:textId="77777777" w:rsidR="00080508" w:rsidRPr="00DC75B2" w:rsidRDefault="00080508" w:rsidP="00080508">
      <w:pPr>
        <w:pStyle w:val="Dvodovzprvakparagrafu"/>
        <w:rPr>
          <w:b w:val="0"/>
          <w:sz w:val="22"/>
          <w:szCs w:val="22"/>
        </w:rPr>
      </w:pPr>
      <w:r w:rsidRPr="36ECB6C2">
        <w:rPr>
          <w:b w:val="0"/>
          <w:sz w:val="22"/>
          <w:szCs w:val="22"/>
        </w:rPr>
        <w:t xml:space="preserve">Východiskem pro řešení je již zmíněný způsob šíření informací, který slouží jako indikace kontaktnímu orgánu, do kterých států má ty které části informačního přehledu vyměnit. Zároveň však přirozeně určuje i to, které části informačního přehledu jsou pro který stát relevantní z hlediska posouzení daňové povinnosti poplatníků, kteří jsou z tohoto státu (nebo v tomto státě podléhají dorovnávací dani). Návazně na to lze z popsaného dovodit základní princip určující, které části informačního přehledu má správce daně z určitého státu od poplatníka dorovnávací daně vyžadovat – tj. obecně ty části, které by tento stát obdržel v rámci automatické výměny informací (tj. v rámci tzv. centrálního podávání/central filing) v souladu </w:t>
      </w:r>
      <w:r>
        <w:rPr>
          <w:b w:val="0"/>
          <w:sz w:val="22"/>
          <w:szCs w:val="22"/>
        </w:rPr>
        <w:t>se</w:t>
      </w:r>
      <w:r w:rsidRPr="36ECB6C2">
        <w:rPr>
          <w:b w:val="0"/>
          <w:sz w:val="22"/>
          <w:szCs w:val="22"/>
        </w:rPr>
        <w:t xml:space="preserve"> způsobem šíření informací (viz</w:t>
      </w:r>
      <w:r>
        <w:rPr>
          <w:b w:val="0"/>
          <w:sz w:val="22"/>
          <w:szCs w:val="22"/>
        </w:rPr>
        <w:t>te</w:t>
      </w:r>
      <w:r w:rsidRPr="36ECB6C2">
        <w:rPr>
          <w:b w:val="0"/>
          <w:sz w:val="22"/>
          <w:szCs w:val="22"/>
        </w:rPr>
        <w:t xml:space="preserve"> blíže také GIR dokument OECD, zejm. odst. 18).</w:t>
      </w:r>
    </w:p>
    <w:p w14:paraId="06547F47" w14:textId="77777777" w:rsidR="00080508" w:rsidRPr="00DC75B2" w:rsidRDefault="00080508" w:rsidP="00080508">
      <w:pPr>
        <w:pStyle w:val="Dvodovzprvakparagrafu"/>
        <w:rPr>
          <w:b w:val="0"/>
          <w:sz w:val="22"/>
        </w:rPr>
      </w:pPr>
      <w:r w:rsidRPr="00DC75B2">
        <w:rPr>
          <w:b w:val="0"/>
          <w:sz w:val="22"/>
        </w:rPr>
        <w:t xml:space="preserve">Mimoto je též nutné vyřešit otázku podávání informačního přehledu velkými vnitrostátními skupinami, které v souladu se Směrnicí Rady (EU) 2022/2523 rovněž podléhají zdanění, což je reflektováno v ZDD. Modelová pravidla se totiž vztahují pouze na velké nadnárodní skupiny, </w:t>
      </w:r>
      <w:r>
        <w:rPr>
          <w:b w:val="0"/>
          <w:sz w:val="22"/>
        </w:rPr>
        <w:t xml:space="preserve">a proto </w:t>
      </w:r>
      <w:r w:rsidRPr="00DC75B2">
        <w:rPr>
          <w:b w:val="0"/>
          <w:sz w:val="22"/>
        </w:rPr>
        <w:t>i šablona informačního přehledu v GIR dokumentu OECD reflektuje pouze existenci těchto nadnárodních skupin a ani šablona GIR v DAC9 se v</w:t>
      </w:r>
      <w:r>
        <w:rPr>
          <w:b w:val="0"/>
          <w:sz w:val="22"/>
        </w:rPr>
        <w:t> </w:t>
      </w:r>
      <w:r w:rsidRPr="00DC75B2">
        <w:rPr>
          <w:b w:val="0"/>
          <w:sz w:val="22"/>
        </w:rPr>
        <w:t xml:space="preserve">tomto neliší (přestože velké vnitrostátní skupiny jsou v určitých případech též podle </w:t>
      </w:r>
      <w:r w:rsidRPr="00DC75B2">
        <w:rPr>
          <w:b w:val="0"/>
          <w:sz w:val="22"/>
        </w:rPr>
        <w:lastRenderedPageBreak/>
        <w:t>DAC9 povinny použít příslušnou šablonu GIR uvedenou v</w:t>
      </w:r>
      <w:r>
        <w:rPr>
          <w:b w:val="0"/>
          <w:sz w:val="22"/>
        </w:rPr>
        <w:t> </w:t>
      </w:r>
      <w:r w:rsidRPr="00DC75B2">
        <w:rPr>
          <w:b w:val="0"/>
          <w:sz w:val="22"/>
        </w:rPr>
        <w:t>příloze směrnice, viz</w:t>
      </w:r>
      <w:r>
        <w:rPr>
          <w:b w:val="0"/>
          <w:sz w:val="22"/>
        </w:rPr>
        <w:t>te</w:t>
      </w:r>
      <w:r w:rsidRPr="00DC75B2">
        <w:rPr>
          <w:b w:val="0"/>
          <w:sz w:val="22"/>
        </w:rPr>
        <w:t xml:space="preserve"> oddíl III v příloze VII v rámci přílohy DAC9).</w:t>
      </w:r>
    </w:p>
    <w:p w14:paraId="72A37F10" w14:textId="77777777" w:rsidR="00080508" w:rsidRPr="00DC75B2" w:rsidRDefault="00080508" w:rsidP="00080508">
      <w:pPr>
        <w:pStyle w:val="Dvodovzprvakparagrafu"/>
        <w:rPr>
          <w:b w:val="0"/>
          <w:sz w:val="22"/>
        </w:rPr>
      </w:pPr>
      <w:r w:rsidRPr="00DC75B2">
        <w:rPr>
          <w:b w:val="0"/>
          <w:sz w:val="22"/>
        </w:rPr>
        <w:t>Popsané otázky jsou řešeny následovně:</w:t>
      </w:r>
    </w:p>
    <w:p w14:paraId="054E7277" w14:textId="77777777" w:rsidR="00080508" w:rsidRPr="009F4C9D" w:rsidRDefault="00080508" w:rsidP="00080508">
      <w:pPr>
        <w:pStyle w:val="Dvodovzprvakparagrafu"/>
        <w:rPr>
          <w:b w:val="0"/>
          <w:sz w:val="22"/>
          <w:u w:val="single"/>
        </w:rPr>
      </w:pPr>
      <w:r w:rsidRPr="009F4C9D">
        <w:rPr>
          <w:b w:val="0"/>
          <w:sz w:val="22"/>
          <w:u w:val="single"/>
        </w:rPr>
        <w:t>Informační přehled k přiřazované dorovnávací dani</w:t>
      </w:r>
    </w:p>
    <w:p w14:paraId="2D89F734" w14:textId="77777777" w:rsidR="00080508" w:rsidRPr="00DC75B2" w:rsidRDefault="00080508" w:rsidP="00080508">
      <w:pPr>
        <w:pStyle w:val="Dvodovzprvakparagrafu"/>
        <w:rPr>
          <w:b w:val="0"/>
          <w:sz w:val="22"/>
          <w:szCs w:val="22"/>
        </w:rPr>
      </w:pPr>
      <w:r w:rsidRPr="15D2335D">
        <w:rPr>
          <w:b w:val="0"/>
          <w:sz w:val="22"/>
          <w:szCs w:val="22"/>
        </w:rPr>
        <w:t>Informační přehled k přiřazované dorovnávací dani lze podat jak lokálně pro účely českých poplatníků (bez následné výměny informací, tzv. místní podání)</w:t>
      </w:r>
      <w:r>
        <w:rPr>
          <w:b w:val="0"/>
          <w:sz w:val="22"/>
          <w:szCs w:val="22"/>
        </w:rPr>
        <w:t>,</w:t>
      </w:r>
      <w:r w:rsidRPr="15D2335D">
        <w:rPr>
          <w:b w:val="0"/>
          <w:sz w:val="22"/>
          <w:szCs w:val="22"/>
        </w:rPr>
        <w:t xml:space="preserve"> </w:t>
      </w:r>
      <w:r>
        <w:rPr>
          <w:b w:val="0"/>
          <w:sz w:val="22"/>
          <w:szCs w:val="22"/>
        </w:rPr>
        <w:t xml:space="preserve">tak </w:t>
      </w:r>
      <w:r w:rsidRPr="15D2335D">
        <w:rPr>
          <w:b w:val="0"/>
          <w:sz w:val="22"/>
          <w:szCs w:val="22"/>
        </w:rPr>
        <w:t xml:space="preserve">pro účely výměny informací (tzv. centrální podání). Pro lokální účely bude podávat informační přehled k přiřazované dorovnávací dani buď sám poplatník přiřazované dorovnávací daně (§ 129 ZDD), </w:t>
      </w:r>
      <w:r>
        <w:rPr>
          <w:b w:val="0"/>
          <w:sz w:val="22"/>
          <w:szCs w:val="22"/>
        </w:rPr>
        <w:t>an</w:t>
      </w:r>
      <w:r w:rsidRPr="15D2335D">
        <w:rPr>
          <w:b w:val="0"/>
          <w:sz w:val="22"/>
          <w:szCs w:val="22"/>
        </w:rPr>
        <w:t>ebo jiná česká členská entita</w:t>
      </w:r>
      <w:r>
        <w:rPr>
          <w:b w:val="0"/>
          <w:sz w:val="22"/>
          <w:szCs w:val="22"/>
        </w:rPr>
        <w:t xml:space="preserve"> téže skupiny podle § 130 odst. </w:t>
      </w:r>
      <w:r w:rsidRPr="15D2335D">
        <w:rPr>
          <w:b w:val="0"/>
          <w:sz w:val="22"/>
          <w:szCs w:val="22"/>
        </w:rPr>
        <w:t>3</w:t>
      </w:r>
      <w:r>
        <w:rPr>
          <w:b w:val="0"/>
          <w:sz w:val="22"/>
          <w:szCs w:val="22"/>
        </w:rPr>
        <w:t> </w:t>
      </w:r>
      <w:r w:rsidRPr="15D2335D">
        <w:rPr>
          <w:b w:val="0"/>
          <w:sz w:val="22"/>
          <w:szCs w:val="22"/>
        </w:rPr>
        <w:t xml:space="preserve">ZDD, čímž je zakotven pojem „Designated Local Entity“ podle modelových pravidel. </w:t>
      </w:r>
    </w:p>
    <w:p w14:paraId="20DD53AB" w14:textId="77777777" w:rsidR="00080508" w:rsidRPr="009F4C9D" w:rsidRDefault="00080508" w:rsidP="00080508">
      <w:pPr>
        <w:pStyle w:val="Dvodovzprvakparagrafu"/>
        <w:rPr>
          <w:b w:val="0"/>
          <w:sz w:val="22"/>
          <w:szCs w:val="22"/>
          <w:u w:val="single"/>
        </w:rPr>
      </w:pPr>
      <w:r w:rsidRPr="009F4C9D">
        <w:rPr>
          <w:b w:val="0"/>
          <w:sz w:val="22"/>
          <w:szCs w:val="22"/>
          <w:u w:val="single"/>
        </w:rPr>
        <w:t>Rozsah informačních povinností poplatníka dorovnávací daně</w:t>
      </w:r>
    </w:p>
    <w:p w14:paraId="65DF8F6D" w14:textId="77777777" w:rsidR="00080508" w:rsidRDefault="00080508" w:rsidP="00080508">
      <w:pPr>
        <w:pStyle w:val="Dvodovzprvakparagrafu"/>
        <w:rPr>
          <w:b w:val="0"/>
          <w:sz w:val="22"/>
          <w:szCs w:val="22"/>
        </w:rPr>
      </w:pPr>
      <w:r w:rsidRPr="36ECB6C2">
        <w:rPr>
          <w:b w:val="0"/>
          <w:sz w:val="22"/>
          <w:szCs w:val="22"/>
        </w:rPr>
        <w:t>V rámci vyhlášky je nutné blíže vymezit, jaký je rozsah povinnost</w:t>
      </w:r>
      <w:r>
        <w:rPr>
          <w:b w:val="0"/>
          <w:sz w:val="22"/>
          <w:szCs w:val="22"/>
        </w:rPr>
        <w:t>í</w:t>
      </w:r>
      <w:r w:rsidRPr="36ECB6C2">
        <w:rPr>
          <w:b w:val="0"/>
          <w:sz w:val="22"/>
          <w:szCs w:val="22"/>
        </w:rPr>
        <w:t xml:space="preserve"> poplatníka dorovnávací daně podle § 129 zákona o dorovnávacích daních. Zde se vychází ze způsobu šíření informací podle přílohy </w:t>
      </w:r>
      <w:r w:rsidRPr="1CB30810">
        <w:rPr>
          <w:b w:val="0"/>
          <w:sz w:val="22"/>
          <w:szCs w:val="22"/>
        </w:rPr>
        <w:t>č. 3</w:t>
      </w:r>
      <w:r w:rsidRPr="36ECB6C2">
        <w:rPr>
          <w:b w:val="0"/>
          <w:sz w:val="22"/>
          <w:szCs w:val="22"/>
        </w:rPr>
        <w:t xml:space="preserve"> vyhlášky. Postupuje se tak, že rozsah poplatníkovy povinnosti je vymezen jako ty části informačního přehledu (platí pro informační přehled k přiřazované dorovnávací dani i</w:t>
      </w:r>
      <w:r>
        <w:rPr>
          <w:b w:val="0"/>
          <w:sz w:val="22"/>
          <w:szCs w:val="22"/>
        </w:rPr>
        <w:t> </w:t>
      </w:r>
      <w:r w:rsidRPr="36ECB6C2">
        <w:rPr>
          <w:b w:val="0"/>
          <w:sz w:val="22"/>
          <w:szCs w:val="22"/>
        </w:rPr>
        <w:t>informační přehled k české dorovnávací dani), na které by Česká republika ve vztahu k</w:t>
      </w:r>
      <w:r>
        <w:rPr>
          <w:b w:val="0"/>
          <w:sz w:val="22"/>
          <w:szCs w:val="22"/>
        </w:rPr>
        <w:t> </w:t>
      </w:r>
      <w:r w:rsidRPr="36ECB6C2">
        <w:rPr>
          <w:b w:val="0"/>
          <w:sz w:val="22"/>
          <w:szCs w:val="22"/>
        </w:rPr>
        <w:t>poplatníkovi dorovnávací daně měla nárok v souladu se způsobem šíření informací (toto je rovněž v souladu s již zmíněným požadavkem odst. 18 GIR dokumentu OECD).</w:t>
      </w:r>
    </w:p>
    <w:p w14:paraId="4C8E2D4D" w14:textId="77777777" w:rsidR="00080508" w:rsidRDefault="00080508" w:rsidP="00080508">
      <w:pPr>
        <w:pStyle w:val="Dvodovzprvakparagrafu"/>
        <w:rPr>
          <w:b w:val="0"/>
          <w:sz w:val="22"/>
          <w:szCs w:val="22"/>
        </w:rPr>
      </w:pPr>
      <w:r w:rsidRPr="36ECB6C2">
        <w:rPr>
          <w:b w:val="0"/>
          <w:sz w:val="22"/>
          <w:szCs w:val="22"/>
        </w:rPr>
        <w:t>Poplatník přiřazované dorovnávací daně bude mít obecně rozsah povinnost</w:t>
      </w:r>
      <w:r>
        <w:rPr>
          <w:b w:val="0"/>
          <w:sz w:val="22"/>
          <w:szCs w:val="22"/>
        </w:rPr>
        <w:t>í</w:t>
      </w:r>
      <w:r w:rsidRPr="36ECB6C2">
        <w:rPr>
          <w:b w:val="0"/>
          <w:sz w:val="22"/>
          <w:szCs w:val="22"/>
        </w:rPr>
        <w:t xml:space="preserve"> odpovídající obecnému oddílu GIR a těm jurisdikčním oddílům za státy, vůči nimž má ČR právo na zdanění (což může být i sama ČR). V určitých případech (kdy ČR v souladu se způsobem šíření informací nebude disponovat jiným titulem k obdržení jurisdikčního oddílu) bude ve vztahu k</w:t>
      </w:r>
      <w:r>
        <w:rPr>
          <w:b w:val="0"/>
          <w:sz w:val="22"/>
          <w:szCs w:val="22"/>
        </w:rPr>
        <w:t> </w:t>
      </w:r>
      <w:r w:rsidRPr="36ECB6C2">
        <w:rPr>
          <w:b w:val="0"/>
          <w:sz w:val="22"/>
          <w:szCs w:val="22"/>
        </w:rPr>
        <w:t>určitému státu odevzdáván pouze oddíl 3.4.3 s</w:t>
      </w:r>
      <w:r>
        <w:rPr>
          <w:b w:val="0"/>
          <w:sz w:val="22"/>
          <w:szCs w:val="22"/>
        </w:rPr>
        <w:t> </w:t>
      </w:r>
      <w:r w:rsidRPr="36ECB6C2">
        <w:rPr>
          <w:b w:val="0"/>
          <w:sz w:val="22"/>
          <w:szCs w:val="22"/>
        </w:rPr>
        <w:t>informací o</w:t>
      </w:r>
      <w:r>
        <w:rPr>
          <w:b w:val="0"/>
          <w:sz w:val="22"/>
          <w:szCs w:val="22"/>
        </w:rPr>
        <w:t> </w:t>
      </w:r>
      <w:r w:rsidRPr="36ECB6C2">
        <w:rPr>
          <w:b w:val="0"/>
          <w:sz w:val="22"/>
          <w:szCs w:val="22"/>
        </w:rPr>
        <w:t>přiřazované dani na základě pravidla pro nedostatečně zdaněný zisk ve vztahu k ČR, konkrétně v případě, kdy v daném státě je ve vztahu k</w:t>
      </w:r>
      <w:r>
        <w:rPr>
          <w:b w:val="0"/>
          <w:sz w:val="22"/>
          <w:szCs w:val="22"/>
        </w:rPr>
        <w:t> </w:t>
      </w:r>
      <w:r w:rsidRPr="36ECB6C2">
        <w:rPr>
          <w:b w:val="0"/>
          <w:sz w:val="22"/>
          <w:szCs w:val="22"/>
        </w:rPr>
        <w:t>ČR podíl na celkové dorovnávací dani nadnárodní skupiny nulový (v</w:t>
      </w:r>
      <w:r>
        <w:rPr>
          <w:b w:val="0"/>
          <w:sz w:val="22"/>
          <w:szCs w:val="22"/>
        </w:rPr>
        <w:t> </w:t>
      </w:r>
      <w:r w:rsidRPr="36ECB6C2">
        <w:rPr>
          <w:b w:val="0"/>
          <w:sz w:val="22"/>
          <w:szCs w:val="22"/>
        </w:rPr>
        <w:t>anglickém jazyce se jedná o státy s „UTPR Percentage of zero“). Ve vztahu k</w:t>
      </w:r>
      <w:r>
        <w:rPr>
          <w:b w:val="0"/>
          <w:sz w:val="22"/>
          <w:szCs w:val="22"/>
        </w:rPr>
        <w:t> </w:t>
      </w:r>
      <w:r w:rsidRPr="36ECB6C2">
        <w:rPr>
          <w:b w:val="0"/>
          <w:sz w:val="22"/>
          <w:szCs w:val="22"/>
        </w:rPr>
        <w:t>nejvyšší mateřské entitě v ČR pak bude muset být odevzdán kompletně celý informační přehled.</w:t>
      </w:r>
    </w:p>
    <w:p w14:paraId="056CC19C" w14:textId="77777777" w:rsidR="00080508" w:rsidRDefault="00080508" w:rsidP="00080508">
      <w:pPr>
        <w:pStyle w:val="Dvodovzprvakparagrafu"/>
        <w:rPr>
          <w:b w:val="0"/>
          <w:sz w:val="22"/>
          <w:szCs w:val="22"/>
        </w:rPr>
      </w:pPr>
      <w:r w:rsidRPr="36ECB6C2">
        <w:rPr>
          <w:b w:val="0"/>
          <w:sz w:val="22"/>
          <w:szCs w:val="22"/>
        </w:rPr>
        <w:t>V případě české dorovnávací daně bude poplatník této daně obecně mít povinnost odpovídající obecnému oddíl</w:t>
      </w:r>
      <w:r>
        <w:rPr>
          <w:b w:val="0"/>
          <w:sz w:val="22"/>
          <w:szCs w:val="22"/>
        </w:rPr>
        <w:t>u</w:t>
      </w:r>
      <w:r w:rsidRPr="36ECB6C2">
        <w:rPr>
          <w:b w:val="0"/>
          <w:sz w:val="22"/>
          <w:szCs w:val="22"/>
        </w:rPr>
        <w:t xml:space="preserve"> GIR (oddíl 1), a to kromě oddílu 1.4. Dále bude vyplňovat oddíl 2 a 3 pro entity zdaňované českou dorovnávací daní (může se jednat buď o české entity, </w:t>
      </w:r>
      <w:r>
        <w:rPr>
          <w:b w:val="0"/>
          <w:sz w:val="22"/>
          <w:szCs w:val="22"/>
        </w:rPr>
        <w:t>an</w:t>
      </w:r>
      <w:r w:rsidRPr="36ECB6C2">
        <w:rPr>
          <w:b w:val="0"/>
          <w:sz w:val="22"/>
          <w:szCs w:val="22"/>
        </w:rPr>
        <w:t>ebo o entity z žádného státu), a to s výjimkou oddílu 3.4.3 (vizte též analogické vymezení definice informačního přehledu k české dorovnávací dani).</w:t>
      </w:r>
    </w:p>
    <w:p w14:paraId="384C40F5" w14:textId="77777777" w:rsidR="00080508" w:rsidRDefault="00080508" w:rsidP="00080508">
      <w:pPr>
        <w:pStyle w:val="Dvodovzprva"/>
      </w:pPr>
      <w:r>
        <w:t>Toto vymezení zároveň nijak nemění možnost splnit povinnost podat informační přehled k české dorovnávací dani podle § 131 odst. 1 ZDD, resp. nijak nemění možnost splnit povinnost podat informační přehled k přiřazované dorovnávací dani podle § 130 odst. 3 ZDD, tj. i v tomto případě může být povinnost splněna jinou entitou skupiny v ČR. Stejně tak se pravidlem nemění možnost splnit povinnost podat informační přehled prostřednictvím jeho podání podávající členskou entitou v zahraničí s následnou automatickou výměnou informací podle § 130 odst. 1 ZDD, resp. 131 odst. 2 ZDD.</w:t>
      </w:r>
    </w:p>
    <w:p w14:paraId="6064D530" w14:textId="77777777" w:rsidR="00080508" w:rsidRDefault="00080508" w:rsidP="00080508">
      <w:pPr>
        <w:pStyle w:val="Dvodovzprva"/>
        <w:rPr>
          <w:szCs w:val="22"/>
        </w:rPr>
      </w:pPr>
    </w:p>
    <w:p w14:paraId="175378A4" w14:textId="77777777" w:rsidR="00080508" w:rsidRPr="009F4C9D" w:rsidRDefault="00080508" w:rsidP="00080508">
      <w:pPr>
        <w:pStyle w:val="Dvodovzprvakparagrafu"/>
        <w:rPr>
          <w:b w:val="0"/>
          <w:sz w:val="22"/>
          <w:u w:val="single"/>
        </w:rPr>
      </w:pPr>
      <w:r w:rsidRPr="009F4C9D">
        <w:rPr>
          <w:b w:val="0"/>
          <w:sz w:val="22"/>
          <w:u w:val="single"/>
        </w:rPr>
        <w:t>Informační přehled k české dorovnávací dani</w:t>
      </w:r>
    </w:p>
    <w:p w14:paraId="7847FC1F" w14:textId="77777777" w:rsidR="00080508" w:rsidRPr="00DC75B2" w:rsidRDefault="00080508" w:rsidP="00080508">
      <w:pPr>
        <w:pStyle w:val="Dvodovzprvakparagrafu"/>
        <w:rPr>
          <w:b w:val="0"/>
          <w:sz w:val="22"/>
          <w:szCs w:val="22"/>
        </w:rPr>
      </w:pPr>
      <w:r w:rsidRPr="36ECB6C2">
        <w:rPr>
          <w:b w:val="0"/>
          <w:sz w:val="22"/>
          <w:szCs w:val="22"/>
        </w:rPr>
        <w:t xml:space="preserve">Informační přehled k české dorovnávací dani je pak pouze lokálním konceptem (tj. tento informační přehled se nevyměňuje s jinými jurisdikcemi). Takový informační přehled podá buď sám poplatník, anebo jiný poplatník české dorovnávací daně, který je členskou entitou téže skupiny (§ 131 odst. 1 ZDD). Koncept informačního přehledu k české dorovnávací dani je </w:t>
      </w:r>
      <w:r w:rsidRPr="6E8E1599">
        <w:rPr>
          <w:b w:val="0"/>
          <w:sz w:val="22"/>
          <w:szCs w:val="22"/>
        </w:rPr>
        <w:t xml:space="preserve">v ZDD </w:t>
      </w:r>
      <w:r w:rsidRPr="36ECB6C2">
        <w:rPr>
          <w:b w:val="0"/>
          <w:sz w:val="22"/>
          <w:szCs w:val="22"/>
        </w:rPr>
        <w:t>zaveden proto, že okruh poplatníků české dorovnávací daně je širší než okruh poplatníků přiřazované dorovnávací daně (česká dorovnávací daň identifikuje jako poplatníky např. i společné podniky v ČR, srov. §</w:t>
      </w:r>
      <w:r>
        <w:rPr>
          <w:b w:val="0"/>
          <w:sz w:val="22"/>
          <w:szCs w:val="22"/>
        </w:rPr>
        <w:t> </w:t>
      </w:r>
      <w:r w:rsidRPr="36ECB6C2">
        <w:rPr>
          <w:b w:val="0"/>
          <w:sz w:val="22"/>
          <w:szCs w:val="22"/>
        </w:rPr>
        <w:t xml:space="preserve">112 a § 117 ZDD); poplatník však bude mít typicky možnost splnit svou povinnost podat informační přehled k české </w:t>
      </w:r>
      <w:r w:rsidRPr="36ECB6C2">
        <w:rPr>
          <w:b w:val="0"/>
          <w:sz w:val="22"/>
          <w:szCs w:val="22"/>
        </w:rPr>
        <w:lastRenderedPageBreak/>
        <w:t>dorovnávací dani už podáním svého informačního přehledu k přiřazované dorovnávací dani (srov. § 131 odst. 2 ZDD)</w:t>
      </w:r>
    </w:p>
    <w:p w14:paraId="7CA03B93" w14:textId="77777777" w:rsidR="00080508" w:rsidRPr="00DC75B2" w:rsidRDefault="00080508" w:rsidP="00080508">
      <w:pPr>
        <w:pStyle w:val="Dvodovzprvakparagrafu"/>
        <w:rPr>
          <w:b w:val="0"/>
          <w:sz w:val="22"/>
          <w:szCs w:val="22"/>
        </w:rPr>
      </w:pPr>
      <w:r w:rsidRPr="36ECB6C2">
        <w:rPr>
          <w:b w:val="0"/>
          <w:sz w:val="22"/>
          <w:szCs w:val="22"/>
        </w:rPr>
        <w:t>Informační přehled k české dorovnávací dani je v rámci přílohy identifikován prostřednictvím způsobu šíření informací jako rozsah informací a</w:t>
      </w:r>
      <w:r>
        <w:rPr>
          <w:b w:val="0"/>
          <w:sz w:val="22"/>
          <w:szCs w:val="22"/>
        </w:rPr>
        <w:t> </w:t>
      </w:r>
      <w:r w:rsidRPr="36ECB6C2">
        <w:rPr>
          <w:b w:val="0"/>
          <w:sz w:val="22"/>
          <w:szCs w:val="22"/>
        </w:rPr>
        <w:t>obecně odpovídá těm částem informačního přehledu k přiřazované dorovnávací dani, na které by Česká republika měla nárok v souladu se způsobem šíření informací uveden</w:t>
      </w:r>
      <w:r>
        <w:rPr>
          <w:b w:val="0"/>
          <w:sz w:val="22"/>
          <w:szCs w:val="22"/>
        </w:rPr>
        <w:t>ý</w:t>
      </w:r>
      <w:r w:rsidRPr="36ECB6C2">
        <w:rPr>
          <w:b w:val="0"/>
          <w:sz w:val="22"/>
          <w:szCs w:val="22"/>
        </w:rPr>
        <w:t xml:space="preserve">m v příloze č. </w:t>
      </w:r>
      <w:r w:rsidRPr="1CB30810">
        <w:rPr>
          <w:b w:val="0"/>
          <w:sz w:val="22"/>
          <w:szCs w:val="22"/>
        </w:rPr>
        <w:t>3</w:t>
      </w:r>
      <w:r w:rsidRPr="36ECB6C2">
        <w:rPr>
          <w:b w:val="0"/>
          <w:sz w:val="22"/>
          <w:szCs w:val="22"/>
        </w:rPr>
        <w:t xml:space="preserve"> vyhlášky ve vztahu k poplatníkovi české dorovnávací daně, kdyby Česká republika byla státem, který zavedl pouze kvalifikovanou vnitrostátní dorovnávací daň (v dokumentech OECD se pro tuto skutečnost používá anglický pojem „QDMTT-only Jurisdiction“).</w:t>
      </w:r>
    </w:p>
    <w:p w14:paraId="2A1A8298" w14:textId="77777777" w:rsidR="00080508" w:rsidRPr="00DC75B2" w:rsidRDefault="00080508" w:rsidP="00080508">
      <w:pPr>
        <w:pStyle w:val="Dvodovzprvakparagrafu"/>
        <w:rPr>
          <w:b w:val="0"/>
          <w:sz w:val="22"/>
        </w:rPr>
      </w:pPr>
      <w:r w:rsidRPr="00DC75B2">
        <w:rPr>
          <w:b w:val="0"/>
          <w:sz w:val="22"/>
        </w:rPr>
        <w:t xml:space="preserve">Obecně řečeno poplatník v takovém případě bude vyplňovat obecný oddíl GIR (oddíl 1), a to kromě oddílu 1.4. Dále bude vyplňovat oddíl 2 a 3 pro entity zdaňované českou dorovnávací daní (může se jednat buď o české entity, </w:t>
      </w:r>
      <w:r>
        <w:rPr>
          <w:b w:val="0"/>
          <w:sz w:val="22"/>
        </w:rPr>
        <w:t>an</w:t>
      </w:r>
      <w:r w:rsidRPr="00DC75B2">
        <w:rPr>
          <w:b w:val="0"/>
          <w:sz w:val="22"/>
        </w:rPr>
        <w:t>ebo o entity z žádného státu), a to s výjimkou oddílu 3.4.3.</w:t>
      </w:r>
    </w:p>
    <w:p w14:paraId="5610D55D" w14:textId="77777777" w:rsidR="00080508" w:rsidRPr="009F4C9D" w:rsidRDefault="00080508" w:rsidP="00080508">
      <w:pPr>
        <w:pStyle w:val="Dvodovzprva"/>
        <w:rPr>
          <w:u w:val="single"/>
        </w:rPr>
      </w:pPr>
      <w:r w:rsidRPr="009F4C9D">
        <w:rPr>
          <w:u w:val="single"/>
        </w:rPr>
        <w:t>Informační přehled v případě velkých vnitrostátních skupin</w:t>
      </w:r>
    </w:p>
    <w:p w14:paraId="5ED629F3" w14:textId="77777777" w:rsidR="00080508" w:rsidRDefault="00080508" w:rsidP="00080508">
      <w:pPr>
        <w:pStyle w:val="Dvodovzprva"/>
      </w:pPr>
      <w:r>
        <w:t>DAC9 se primárně zabývá použitím GIR pro účely výměny informací, tedy primárně míří na velké nadnárodní skupiny (čemuž odpovídá i šablona GIR v DAC9, která vychází ze šablony v GIR dokumentu OECD a ve které se též hovoří jen o velkých nadnárodních skupinách). Koncept vyhlášky je takový, že se standardizovaná šablona (XML) použije pro všechny druhy podání (k čemuž je standardizovaný GIR uzpůsoben), včetně vnitrostátních skupin. Je nicméně nutné blíže upřesnit použití šablony právě i pro tyto vnitrostátní skupiny. Nutno podotknout, že již samotný DAC9 v oddílu III v příloze VII ukládá povinnost šablonu informačního přehledu v příloze DAC9 použít v situaci, kdy „mateřský subjekt velké vnitrostátní skupiny drží přímo či nepřímo vlastnický podíl ve společném podniku nebo přidružené osobě společného podniku, na který se vztahuje kvalifikovaná vnitrostátní dorovnávací daň v jiném členském státě, než je členský stát, v němž se velká vnitrostátní skupina nachází“. Toto ustanovení míří na skutečnost, že součástí vnitrostátní skupiny (tj. souboru členských entit z jednoho státu) může být i společný podnik z jiného státu (neboť ten členskou entitou není). Již DAC9 tedy vyžaduje řešení této otázky.</w:t>
      </w:r>
    </w:p>
    <w:p w14:paraId="59142EF6" w14:textId="77777777" w:rsidR="00080508" w:rsidRDefault="00080508" w:rsidP="00080508">
      <w:pPr>
        <w:pStyle w:val="Dvodovzprva"/>
      </w:pPr>
      <w:r>
        <w:t xml:space="preserve">Za účelem co nejjednoduššího řešení bez narušení implementační povinnosti směrnice DAC9, která obsahuje šablonu GIR pouze s odkazem na velké nadnárodní skupiny, je zvolena varianta, že ustanovení šablony GIR se na velkou vnitrostátní skupinu použijí obdobně. Uvedené neznamená, že by se bez daného ustanovení GIR pro velké vnitrostátní skupiny nepoužil (GIR se použije univerzálně pro všechny poplatníky dorovnávací daně), ani to, že by vnitrostátní skupina pro účely vyplňování GIR byla považována za nadnárodní skupinu, pouze se normuje, že se položky GIR použijí i pro velkou vnitrostátní skupinu (s tím, že specifika vnitrostátních skupin zůstávají zachována). </w:t>
      </w:r>
    </w:p>
    <w:p w14:paraId="765A6B7B" w14:textId="77777777" w:rsidR="00080508" w:rsidRDefault="00080508" w:rsidP="00080508">
      <w:pPr>
        <w:pStyle w:val="Dvodovzprva"/>
      </w:pPr>
      <w:r>
        <w:t>Bližší podrobnosti úpravy jsou uvedeny níže v důvodové zprávě k příslušným pokynům.</w:t>
      </w:r>
    </w:p>
    <w:p w14:paraId="05DA3EE7" w14:textId="77777777" w:rsidR="00080508" w:rsidRPr="00643C7A" w:rsidRDefault="00080508" w:rsidP="00080508">
      <w:pPr>
        <w:pStyle w:val="Dvodovzprva"/>
        <w:rPr>
          <w:u w:val="single"/>
        </w:rPr>
      </w:pPr>
      <w:r w:rsidRPr="00643C7A">
        <w:rPr>
          <w:u w:val="single"/>
        </w:rPr>
        <w:t>K obsahové struktuře informačního přehledu k </w:t>
      </w:r>
      <w:r w:rsidRPr="76CE8142">
        <w:rPr>
          <w:u w:val="single"/>
        </w:rPr>
        <w:t>dorovnávacím daním</w:t>
      </w:r>
    </w:p>
    <w:p w14:paraId="20ABE914" w14:textId="77777777" w:rsidR="00080508" w:rsidRDefault="00080508" w:rsidP="00080508">
      <w:pPr>
        <w:pStyle w:val="Dvodovzprva"/>
      </w:pPr>
      <w:r>
        <w:t>Obsahová struktura informačního přehledu k dorovnávacím daním implementuje oddíl IV přílohy VII směrnice DAC9.</w:t>
      </w:r>
    </w:p>
    <w:p w14:paraId="7E1970D7" w14:textId="77777777" w:rsidR="00080508" w:rsidRDefault="00080508" w:rsidP="00080508">
      <w:pPr>
        <w:pStyle w:val="Dvodovzprva"/>
        <w:sectPr w:rsidR="00080508" w:rsidSect="0007159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417" w:bottom="1417" w:left="1417" w:header="708" w:footer="708" w:gutter="0"/>
          <w:pgNumType w:start="123"/>
          <w:cols w:space="708"/>
          <w:titlePg/>
          <w:docGrid w:linePitch="326"/>
        </w:sectPr>
      </w:pPr>
      <w:r>
        <w:t>Z hlediska koncepce se přebírá struktura datových bodů z DAC9 (které odpovídají datovým bodům standardizované šablony uvedené v příloze A1. Data points v GIR dokumentu OECD). V rámci překladu do českého jazyka datové body navazují na terminologii zákona o dorovnávacích daních, což však samo o sobě žádným způsobem nebrání podávající členské entitě vyplnit informační přehled v souladu s modelovými pravidly nebo v souladu s příslušnými vnitrostátními právními předpisy státu s právem na zdanění, pokud to pokyny vyžadují (vizte důvodovou zprávu k části přílohy upravující pokyny k vyplnění informačního přehledu).</w:t>
      </w:r>
    </w:p>
    <w:p w14:paraId="310ADA5F" w14:textId="77777777" w:rsidR="00080508" w:rsidRDefault="00080508" w:rsidP="00080508">
      <w:pPr>
        <w:pStyle w:val="Dvodovzprva"/>
        <w:rPr>
          <w:u w:val="single"/>
        </w:rPr>
      </w:pPr>
      <w:r w:rsidRPr="15D2335D">
        <w:rPr>
          <w:u w:val="single"/>
        </w:rPr>
        <w:t xml:space="preserve">K </w:t>
      </w:r>
      <w:r w:rsidRPr="25F07678">
        <w:rPr>
          <w:u w:val="single"/>
        </w:rPr>
        <w:t>pokynům k informačnímu</w:t>
      </w:r>
      <w:r w:rsidRPr="15D2335D">
        <w:rPr>
          <w:u w:val="single"/>
        </w:rPr>
        <w:t xml:space="preserve"> přehledu k české dorovnávací dani</w:t>
      </w:r>
    </w:p>
    <w:p w14:paraId="08684881" w14:textId="77777777" w:rsidR="00080508" w:rsidRDefault="00080508" w:rsidP="00080508">
      <w:pPr>
        <w:pStyle w:val="Dvodovzprva"/>
      </w:pPr>
      <w:r>
        <w:lastRenderedPageBreak/>
        <w:t>Jak již bylo uvedeno, ustanovení reflektuje potřebu legislativně zakotvit informační přehled k české dorovnávací dani. Za účelem maximálního zjednodušení je toto provedeno prostřednictvím definování výseče informačního přehledu k přiřazované dorovnávací dani. V praxi se bude jednat o všechny části informačního přehledu k přiřazované dorovnávací dani, s výjimkou oddílu 1.4 a oddílu 3.4.3. Tyto oddíly jsou zároveň v rámci XML schématu vymezeny samostatně (právě pro účely hladkého průběhu automatické výměny informací), lze tedy použít stávající šablonu (její relevantní části) informačního přehledu k přiřazované dorovnávací dani, resp. relevantní části XML schématu.</w:t>
      </w:r>
    </w:p>
    <w:p w14:paraId="23B2361C" w14:textId="77777777" w:rsidR="00080508" w:rsidRPr="00643C7A" w:rsidRDefault="00080508" w:rsidP="00080508">
      <w:pPr>
        <w:pStyle w:val="Dvodovzprva"/>
        <w:rPr>
          <w:rStyle w:val="normaltextrun"/>
          <w:u w:val="single"/>
          <w:shd w:val="clear" w:color="auto" w:fill="FFFFFF"/>
        </w:rPr>
      </w:pPr>
      <w:r w:rsidRPr="7395AE3D">
        <w:rPr>
          <w:rStyle w:val="normaltextrun"/>
          <w:u w:val="single"/>
        </w:rPr>
        <w:t>K pokynům k informačnímu přehledu k dorovnávacím daním</w:t>
      </w:r>
    </w:p>
    <w:p w14:paraId="06D2A153" w14:textId="77777777" w:rsidR="00080508" w:rsidRPr="009F4C9D" w:rsidDel="007F7C09" w:rsidRDefault="00080508" w:rsidP="00080508">
      <w:pPr>
        <w:pStyle w:val="Dvodovzprva"/>
        <w:rPr>
          <w:rStyle w:val="normaltextrun"/>
          <w:b/>
        </w:rPr>
      </w:pPr>
      <w:r w:rsidRPr="009F4C9D">
        <w:rPr>
          <w:rStyle w:val="normaltextrun"/>
        </w:rPr>
        <w:t>V rámci přílohy je nutné vymezit, jaký je rozsah informační povinnosti poplatníka podle §</w:t>
      </w:r>
      <w:r>
        <w:rPr>
          <w:rStyle w:val="normaltextrun"/>
        </w:rPr>
        <w:t> </w:t>
      </w:r>
      <w:r w:rsidRPr="009F4C9D">
        <w:rPr>
          <w:rStyle w:val="normaltextrun"/>
        </w:rPr>
        <w:t xml:space="preserve">129 </w:t>
      </w:r>
      <w:r w:rsidRPr="56CE4AB3">
        <w:rPr>
          <w:rStyle w:val="normaltextrun"/>
        </w:rPr>
        <w:t>ZDD</w:t>
      </w:r>
      <w:r w:rsidRPr="009F4C9D">
        <w:rPr>
          <w:rStyle w:val="normaltextrun"/>
        </w:rPr>
        <w:t>, který zakotvuje povinnost poplatníka dorovnávací daně podat informační přehled (čl.</w:t>
      </w:r>
      <w:r>
        <w:rPr>
          <w:rStyle w:val="normaltextrun"/>
        </w:rPr>
        <w:t> </w:t>
      </w:r>
      <w:r w:rsidRPr="009F4C9D">
        <w:rPr>
          <w:rStyle w:val="normaltextrun"/>
        </w:rPr>
        <w:t xml:space="preserve">8.1.1 modelových pravidel). </w:t>
      </w:r>
    </w:p>
    <w:p w14:paraId="598395C3" w14:textId="77777777" w:rsidR="00080508" w:rsidRPr="009F4C9D" w:rsidDel="007F7C09" w:rsidRDefault="00080508" w:rsidP="00080508">
      <w:pPr>
        <w:pStyle w:val="Dvodovzprva"/>
        <w:rPr>
          <w:rStyle w:val="normaltextrun"/>
        </w:rPr>
      </w:pPr>
      <w:r w:rsidRPr="009F4C9D">
        <w:rPr>
          <w:rStyle w:val="normaltextrun"/>
        </w:rPr>
        <w:t xml:space="preserve">Toto je provedeno prostřednictvím odkazu na způsob šíření informací (dissemination approach) v příloze </w:t>
      </w:r>
      <w:r w:rsidRPr="01A282E5">
        <w:rPr>
          <w:rStyle w:val="normaltextrun"/>
        </w:rPr>
        <w:t>3</w:t>
      </w:r>
      <w:r w:rsidRPr="009F4C9D">
        <w:rPr>
          <w:rStyle w:val="normaltextrun"/>
        </w:rPr>
        <w:t>.</w:t>
      </w:r>
    </w:p>
    <w:p w14:paraId="281544EA" w14:textId="77777777" w:rsidR="00080508" w:rsidRDefault="00080508" w:rsidP="00080508">
      <w:pPr>
        <w:pStyle w:val="Dvodovzprva"/>
      </w:pPr>
      <w:r w:rsidRPr="009F4C9D">
        <w:rPr>
          <w:rStyle w:val="normaltextrun"/>
        </w:rPr>
        <w:t xml:space="preserve">Pravidlo zároveň žádným způsobem neomezuje možnost podat informační přehled </w:t>
      </w:r>
      <w:r>
        <w:rPr>
          <w:rStyle w:val="normaltextrun"/>
        </w:rPr>
        <w:t>v </w:t>
      </w:r>
      <w:r w:rsidRPr="009F4C9D">
        <w:rPr>
          <w:rStyle w:val="normaltextrun"/>
        </w:rPr>
        <w:t>rámci místního podání podle § 130 odst. 3 nebo § 131 odst. 1 zákona o dorovnávacích daních, tj. i</w:t>
      </w:r>
      <w:r>
        <w:rPr>
          <w:rStyle w:val="normaltextrun"/>
        </w:rPr>
        <w:t> </w:t>
      </w:r>
      <w:r w:rsidRPr="009F4C9D">
        <w:rPr>
          <w:rStyle w:val="normaltextrun"/>
        </w:rPr>
        <w:t>v tomto případě může být povinnost splněna jinou entitou v České republice (ustanovení se v takovém případě použije analogicky na soubor poplatníků, za něž je povinnost podat informační přehled splněna).</w:t>
      </w:r>
    </w:p>
    <w:p w14:paraId="53018E23" w14:textId="77777777" w:rsidR="00080508" w:rsidRDefault="00080508" w:rsidP="00080508">
      <w:pPr>
        <w:pStyle w:val="Dvodovzprva"/>
      </w:pPr>
    </w:p>
    <w:p w14:paraId="7DB6B957" w14:textId="77777777" w:rsidR="00080508" w:rsidRPr="00190F46" w:rsidRDefault="00080508" w:rsidP="00080508">
      <w:pPr>
        <w:pStyle w:val="Dvodovzprva"/>
        <w:rPr>
          <w:u w:val="single"/>
        </w:rPr>
      </w:pPr>
      <w:r w:rsidRPr="00190F46">
        <w:rPr>
          <w:u w:val="single"/>
        </w:rPr>
        <w:t>K</w:t>
      </w:r>
      <w:r>
        <w:rPr>
          <w:u w:val="single"/>
        </w:rPr>
        <w:t> pokynům k vyplnění informačního přehledu</w:t>
      </w:r>
    </w:p>
    <w:p w14:paraId="65F13CA2" w14:textId="77777777" w:rsidR="00080508" w:rsidRPr="00F95EEE" w:rsidRDefault="00080508" w:rsidP="00080508">
      <w:pPr>
        <w:pStyle w:val="Dvodovzprva"/>
      </w:pPr>
      <w:r>
        <w:t xml:space="preserve">Úvodem se </w:t>
      </w:r>
      <w:r w:rsidRPr="00F95EEE">
        <w:t>vymezuje, že tyto pokyny vycházejí z GIR dokumentu OECD. Toto je provedeno s ohledem na potřebu jasného navázání pokynů na materiály OECD, a to s ohledem na to, že v určitých případech se bude informační přehled v souladu s požadavkem OECD vyplňovat podle modelových pravidel a prováděcího rámce k modelovým pravidlům.</w:t>
      </w:r>
    </w:p>
    <w:p w14:paraId="72B000C5" w14:textId="77777777" w:rsidR="00080508" w:rsidRPr="00F95EEE" w:rsidRDefault="00080508" w:rsidP="00080508">
      <w:pPr>
        <w:pStyle w:val="Dvodovzprva"/>
      </w:pPr>
      <w:r>
        <w:t>Dále se vymezuje, že pokyny se použijí jak v případě informačního přehled k přiřazované dorovnávací dani, tak v případě informačního přehledu k české dorovnávací dani. Tomu odpovídá i znění pokynů, které v určitých případech odkazují na konkrétní způsob vyplnění buď pro účely vnitrostátní dorovnávací daně (české či zahraniční), anebo na způsob vyplnění přímo pro účely české dorovnávací daně (bez ohledu na to, zda jsou údaje o vnitrostátní dorovnávací dani vyplňovány v rámci informačního přehledu k české dorovnávací dani nebo informačního přehledu k přiřazované dorovnávací dani).</w:t>
      </w:r>
    </w:p>
    <w:p w14:paraId="651A7150" w14:textId="77777777" w:rsidR="00080508" w:rsidRPr="00F95EEE" w:rsidRDefault="00080508" w:rsidP="00080508">
      <w:pPr>
        <w:pStyle w:val="Dvodovzprva"/>
      </w:pPr>
      <w:r>
        <w:t>Pro potřeby vyplnění informačního přehledu je též nutné vymezit použití pokynů v případě, kdy je informační přehled vyplňován v souladu s modelovými pravidly a jejich prováděcím rámcem; v takovém případě se postupuje tak, jako by pojem vyjadřoval pojem podle modelových pravidel a jeho prováděcího rámce (srov. § 2 odst. 2 zákona o dorovnávacích daních a výše uvedenou důvodovou zprávu k části „Úvod“).</w:t>
      </w:r>
    </w:p>
    <w:p w14:paraId="4279EBB2" w14:textId="77777777" w:rsidR="00080508" w:rsidRPr="00F95EEE" w:rsidRDefault="00080508" w:rsidP="00080508">
      <w:pPr>
        <w:pStyle w:val="Dvodovzprva"/>
      </w:pPr>
      <w:r w:rsidRPr="00F95EEE">
        <w:t xml:space="preserve">V rámci pojmů je dále vymezen pojem „vykazované výkazní období“, </w:t>
      </w:r>
      <w:r>
        <w:t xml:space="preserve">jehož </w:t>
      </w:r>
      <w:r w:rsidRPr="00F95EEE">
        <w:t>prostřednictvím je vymezeno výkazní období, ke kterému se vztahuje informační přehled. Tím je zároveň provedena transpozice pojmu „vykazované účetní období“ v oddíle I přílohy VII DAC9.</w:t>
      </w:r>
    </w:p>
    <w:p w14:paraId="5A53D923" w14:textId="77777777" w:rsidR="00080508" w:rsidRDefault="00080508" w:rsidP="00080508">
      <w:pPr>
        <w:pStyle w:val="Dvodovzprva"/>
      </w:pPr>
      <w:r>
        <w:t xml:space="preserve">Dále se v této části zakotvuje pravidlo, podle kterého se informační přehled a pokyny k němu použijí na vnitrostátní skupinu obdobně. Uvedené neznamená, že by se bez daného ustanovení GIR pro velké vnitrostátní skupiny nepoužil (GIR se použije univerzálně pro všechny poplatníky dorovnávací daně), ani to, že by vnitrostátní skupina pro účely vyplňování GIR byla </w:t>
      </w:r>
      <w:r>
        <w:lastRenderedPageBreak/>
        <w:t>považována za nadnárodní skupinu, pouze se normuje, že se položky GIR použijí i pro velkou vnitrostátní skupinu (s tím, že specifika vnitrostátních skupin zůstávají zachována).</w:t>
      </w:r>
    </w:p>
    <w:p w14:paraId="5DBE0CDF" w14:textId="77777777" w:rsidR="00080508" w:rsidRPr="00F95EEE" w:rsidRDefault="00080508" w:rsidP="00080508">
      <w:pPr>
        <w:pStyle w:val="Dvodovzprva"/>
      </w:pPr>
      <w:r>
        <w:t>Ustanovení zavádí také pravidlo, podle kterého se při vyplnění informačního přehledu pro účely vnitrostátní dorovnávací daně nevyplní oddíl 3.4 s výjimkou případu, kdy vnitrostátní právní předpisy státu uvalujícího kvalifikovanou vnitrostátní dorovnávací daň nepřiřazují kvalifikovanou vnitrostátní dorovnávací daň mezi členské entity na základě jejich kvalifikovaného zisku. Toto ustanovení slouží jako pravidlo pro vyplnění informačního přehledu také v případě, kdy podávající členská entita vyplňuje informační přehled pro účely české dorovnávací daně (neboť česká dorovnávací daň alokuje dorovnávací daň mezi členské entity na základě jiného klíče).</w:t>
      </w:r>
    </w:p>
    <w:p w14:paraId="5F00BC33" w14:textId="77777777" w:rsidR="00080508" w:rsidRPr="00F95EEE" w:rsidRDefault="00080508" w:rsidP="00080508">
      <w:pPr>
        <w:pStyle w:val="Dvodovzprva"/>
      </w:pPr>
      <w:r w:rsidRPr="00F95EEE">
        <w:t>Nadto je provedeno doplnění specificky pro účely české dorovnávací daně. Konkrétně se jedná o situaci, kdy je pro účely české dorovnávací daně naopak nutné vyplnit část oddílu 3.4 (ten se standardně vyplňovat pro účely české dorovnávací daně nebude, neboť v rámci ZDD je pro českou dorovnávací daň stanoven vlastní způsob alokace daně podle § 120 ZDD. Existuje ovšem jedna specifická výjimka (§ 119 odst. 6 písm. c) ZDD – vycházející z čl. 7.6 modelových pravidel), kdy je nutné spočítat dorovnávací daň entity jiným způsobem než výpočtem jurisdikční daně (viz § 75 odst. 4 a 8 ZDD, resp. čl. 7.6.2. odst. (c) a čl. 7.6.6 modelových pravidel) a kdy dochází k výpočtu dorovnávací daně příslušné entity na základě součinu minimální daňové sazby a kvalifikovaného zisku, který v daném případě počítán jako podíl vlastnické členské entity na nerozděleném kvalifikovaném zisku investiční entity. Tato veličina je v rámci GIR vykázána v oddíle 3.4.1.1.</w:t>
      </w:r>
    </w:p>
    <w:p w14:paraId="3A40CDAA" w14:textId="77777777" w:rsidR="00080508" w:rsidRPr="00F95EEE" w:rsidRDefault="00080508" w:rsidP="00080508">
      <w:pPr>
        <w:pStyle w:val="Dvodovzprva"/>
      </w:pPr>
      <w:r>
        <w:t>V případě vyplňování GIR pro účely české dorovnávací daně se rovněž použijí principy § 119 odst. 5 ZDD. Zároveň platí, že informační přehled bude ve vztahu ke konkrétnímu státu vyplňován s ohledem na místní specifika (např. pokud určitý stát neaplikuje způsobilý systém daně z rozděleného zisku, tak se samozřejmě ve vztahu k tomuto státu neuplatní rozhodnutí podle § 71 ZDD).</w:t>
      </w:r>
    </w:p>
    <w:p w14:paraId="631EC421" w14:textId="77777777" w:rsidR="00080508" w:rsidRPr="00F95EEE" w:rsidRDefault="00080508" w:rsidP="00080508">
      <w:pPr>
        <w:pStyle w:val="Dvodovzprva"/>
      </w:pPr>
      <w:r>
        <w:t>Dále je uvedeno klíčové ustanovení vycházející z požadavku GIR dokumentu OECD zakotvující způsob, jakým se vyplní datové body v informačním přehledu. Informační přehled se vyplní na základě modelových pravidel a jejich prováděcího rámce. Pokud však má pouze jeden stát právo na zdanění ve vztahu ke státu nebo podskupině (popř. se aplikuje QDMTT safe harbour ve vztahu ke státu či podskupině), vyplní se informační přehled na základě vnitrostátních právních předpisů tohoto státu. Cílem je v logice OECD zamezit vícenásobnému vyplňování jednotlivých jurisdikčních oddílů v případě, kdy by více států mělo právo na zdanění vůči entitám vykázaným v tomto jurisdikčním oddílu. Nadto se uvádí také pravidlo, podle kterého se český informační přehled vyplňuje podle vnitrostátních právních předpisů ČR (i zde by se však případně zohlednil § 26 odst. 2 ZDD, pokud by to bylo v daném případě relevantní).</w:t>
      </w:r>
    </w:p>
    <w:p w14:paraId="2E5709DE" w14:textId="77777777" w:rsidR="00080508" w:rsidRPr="00F95EEE" w:rsidRDefault="00080508" w:rsidP="00080508">
      <w:pPr>
        <w:pStyle w:val="Dvodovzprva"/>
      </w:pPr>
      <w:r w:rsidRPr="00F95EEE">
        <w:t>Dále se v této části pro účely pokynů zavádí legislativní zkratka „pokyny“, která označuje podle kontextu buď vnitrostátní právní předpisy (zejm. pokud má jediný stát právo na zdanění)</w:t>
      </w:r>
      <w:r>
        <w:t>,</w:t>
      </w:r>
      <w:r w:rsidRPr="00F95EEE">
        <w:t xml:space="preserve"> </w:t>
      </w:r>
      <w:r>
        <w:t>an</w:t>
      </w:r>
      <w:r w:rsidRPr="00F95EEE">
        <w:t>ebo modelová pravidla a jejich prováděcí rámec (zejm. pokud má více států právo na zdanění).</w:t>
      </w:r>
    </w:p>
    <w:p w14:paraId="5C22685B" w14:textId="77777777" w:rsidR="00080508" w:rsidRDefault="00080508" w:rsidP="00080508">
      <w:pPr>
        <w:pStyle w:val="Dvodovzprva"/>
      </w:pPr>
    </w:p>
    <w:p w14:paraId="2F0A5BAD" w14:textId="77777777" w:rsidR="00080508" w:rsidRPr="00190F46" w:rsidRDefault="00080508" w:rsidP="00080508">
      <w:pPr>
        <w:pStyle w:val="Dvodovzprva"/>
        <w:rPr>
          <w:u w:val="single"/>
        </w:rPr>
      </w:pPr>
      <w:r w:rsidRPr="00190F46">
        <w:rPr>
          <w:u w:val="single"/>
        </w:rPr>
        <w:t>K</w:t>
      </w:r>
      <w:r>
        <w:rPr>
          <w:u w:val="single"/>
        </w:rPr>
        <w:t> pokynům k vyplnění informačního přehledu v přechodném období</w:t>
      </w:r>
    </w:p>
    <w:p w14:paraId="3B6BD5E9" w14:textId="77777777" w:rsidR="00080508" w:rsidRDefault="00080508" w:rsidP="00080508">
      <w:pPr>
        <w:pStyle w:val="Dvodovzprva"/>
      </w:pPr>
      <w:r>
        <w:t xml:space="preserve">V rámci vyhlášky je dále potřeba upřesnit aplikaci tzv. přechodného jurisdikčního zjednodušeného vykazování (Simplified jurisdictional reporting Framework), které při splnění podmínek stanoví zjednodušený způsob vyplnění GIR v přechodném období, definovaném jako výkazní období začínající 31. 12. 2028 nebo dříve, </w:t>
      </w:r>
      <w:r w:rsidRPr="001B41C7">
        <w:t>ale bez zahrnutí výkazních</w:t>
      </w:r>
      <w:r>
        <w:t xml:space="preserve"> období, která </w:t>
      </w:r>
      <w:r>
        <w:lastRenderedPageBreak/>
        <w:t>končí po 30. 6. 2030. Podmínky je nutné normovat, neboť na ně odkazuje samotná šablona GIR v DAC9 a bez této úpravy by příslušná položka GIR neměla svou náplň.</w:t>
      </w:r>
    </w:p>
    <w:p w14:paraId="32FA3239" w14:textId="77777777" w:rsidR="00080508" w:rsidRDefault="00080508" w:rsidP="00080508">
      <w:pPr>
        <w:pStyle w:val="Dvodovzprva"/>
      </w:pPr>
      <w:r>
        <w:t>Zjednodušení je dostupné pro ty státy (resp. podskupiny), kde nevzniká v daném výkazním období žádná dorovnávací daň (myšleno včetně případné dodatečné dorovnávací daně) nebo kde není třeba dorovnávací daň přiřazovat mezi členské entity (přičemž splnění podmínky se posuzuje primárně po příslušných podskupinách). Podrobnosti aplikace zjednodušeného vykazování jsou popsány ve vysvětlivkách k šabloně GIR v příloze vyhlášky (resp. v GIR dokumentu OECD). V praxi se bude jednat zejm. o případy, kdy daň v rámci státu (podskupiny) nevznikne, o situace, kdy ve vztahu ke státu (podskupině) bude mít právo na zdanění jediná mateřská entita, nebo situace, kdy přiřaditelný podíl mateřské entity na dílčí dorovnávací dani v rámci kvalifikovaného pravidla pro zahrnutí zisku bude stejný pro všechny relevantní členské entity ve státě (blíže viz vysvětlivku k bodu 3.2.4.1.a GIR a vysvětlivku k bodu 3.4.1 GIR).</w:t>
      </w:r>
    </w:p>
    <w:p w14:paraId="436581BC" w14:textId="77777777" w:rsidR="00080508" w:rsidRDefault="00080508" w:rsidP="00080508">
      <w:pPr>
        <w:pStyle w:val="Dvodovzprva"/>
      </w:pPr>
      <w:r>
        <w:t>V případě použití Simplified jurisdictional reporting Framework pro účely české dorovnávací daně se vychází z požadavku odst. 51 v Kapitole 3 v Příloze A Konsolidovaného komentáře k modelovým pravidlům ze dne 9. května 2025, podle kterého je možné nezavést toto zjednodušení v případě vnitrostátní dorovnávací daně v případě, kdy (1) vnitrostátní daň vznikne, nebo (2) jsou informace o výpočtech již překládány na úrovni entity a existuje povinnost podat individuální daňové přiznání.</w:t>
      </w:r>
    </w:p>
    <w:p w14:paraId="282ED8A6" w14:textId="77777777" w:rsidR="00080508" w:rsidRDefault="00080508" w:rsidP="00080508">
      <w:pPr>
        <w:pStyle w:val="Dvodovzprva"/>
        <w:rPr>
          <w:b/>
          <w:bCs/>
        </w:rPr>
      </w:pPr>
      <w:r>
        <w:t>V souladu s uvedeným je zvoleno řešení, kdy bude pro účely české dorovnávací daně možno využít zjednodušeného vykazování tehdy, pokud česká dorovnávací daň v daném výkazním období (resp. v příslušné podskupině) nevznikne (myšleno včetně případné dodatečné dorovnávací daně). V opačném případě totiž poplatník bude mít povinnost podat přiznání na nenulovou částku, která bude na poplatníka alokována podle § 120 ZDD.</w:t>
      </w:r>
    </w:p>
    <w:p w14:paraId="283A197E" w14:textId="77777777" w:rsidR="00080508" w:rsidRDefault="00080508" w:rsidP="00080508">
      <w:pPr>
        <w:pStyle w:val="Dvodovzprva"/>
      </w:pPr>
    </w:p>
    <w:p w14:paraId="57F0D1A9" w14:textId="77777777" w:rsidR="00080508" w:rsidRDefault="00080508" w:rsidP="00080508">
      <w:pPr>
        <w:pStyle w:val="Dvodovzprvaksti"/>
      </w:pPr>
      <w:r>
        <w:t>K příloze č. 3 k vyhlášce</w:t>
      </w:r>
    </w:p>
    <w:p w14:paraId="4CA826E5" w14:textId="77777777" w:rsidR="00080508" w:rsidRDefault="00080508" w:rsidP="00080508">
      <w:pPr>
        <w:pStyle w:val="Dvodovzprva"/>
      </w:pPr>
      <w:r>
        <w:t>Z důvodu úzké provázanosti způsobu šíření informací (dissemination approach) na samotnou šablonu informačního přehledu je zvoleno legislativní řešení spočívající v implementaci způsobu šíření informací ve vyhlášce o formulářových podáních. Způsob šíření informací totiž neslouží pouze orgánu provádějícímu automatickou výměnu informací, ale především daňovému poplatníkovi, kterému způsob šíření informací indikuje, které části informačního přehledu od něj správce daně očekává (a které části má tudíž vyplnit a podat).</w:t>
      </w:r>
    </w:p>
    <w:p w14:paraId="69E90B9C" w14:textId="77777777" w:rsidR="00080508" w:rsidRDefault="00080508" w:rsidP="00080508">
      <w:pPr>
        <w:pStyle w:val="Dvodovzprva"/>
      </w:pPr>
      <w:r>
        <w:t>Samotná systematika je založena na poskytování konkrétně vyjmenovaných oddílů informačního přehledu jiným státům, pro něž je tento příslušný oddíl relevantní pro vyhodnocení daňové povinnosti poplatníků z tohoto státu.</w:t>
      </w:r>
    </w:p>
    <w:p w14:paraId="2C6F5982" w14:textId="77777777" w:rsidR="00080508" w:rsidRDefault="00080508" w:rsidP="00080508">
      <w:pPr>
        <w:pStyle w:val="Dvodovzprva"/>
      </w:pPr>
      <w:r>
        <w:t>Obecně lze říci, že tzv. obecný oddíl informačního přehledu je poskytován státům, které zavedly kvalifikované pravidlo pro zahrnutí zisku nebo kvalifikované pravidlo pro nedostatečně zdaněný zisk, a ze kterých jsou příslušné (členské) entity velké skupiny, a slouží primárně ke sdělení obecných informací o skupině, popř. vyhodnocení práva na zdanění.</w:t>
      </w:r>
    </w:p>
    <w:p w14:paraId="46C9910A" w14:textId="77777777" w:rsidR="00080508" w:rsidRDefault="00080508" w:rsidP="00080508">
      <w:pPr>
        <w:pStyle w:val="Dvodovzprva"/>
      </w:pPr>
      <w:r>
        <w:t xml:space="preserve">Tzv. jurisdikční oddíl je poté distribuován státům podle toho, zda mají právo na zdanění (v anglickém jazyce „taxing rights“) ve vztahu ke konkrétní entitě (entitám z konkrétního státu). Pojem záměrně není blíže vymezen ve vyhlášce, jeho náplň lze dovodit z příslušných dokumentů OECD, zejm. z komentáře ke GIR MCAA, resp. z GIR dokumentu OECD (odst. 23 až 27). Tento přístup je rovněž v souladu s § 2 odst. 2 ZDD, podle kterého pojem použitý v ZDD nebo ve vyhlášce upravující formulářové podání vztahující se k dorovnávacím daním má význam podle modelových pravidel OECD a jejich prováděcího rámce v rozsahu, v jakém jsou tyto dokumenty vykládány v souladu s právem Evropské unie. Lze dodat, že skutečnost, </w:t>
      </w:r>
      <w:r>
        <w:lastRenderedPageBreak/>
        <w:t>že poplatníkovi dorovnávací daň nevznikne, neznamená, že příslušný stát s právem na zdanění má právo na příslušný jurisdikční oddíl (odst. 24 věta první GIR dokumentu OECD). To, zda má stát právo na zdanění ve vztahu k jinému státu, bude pak obecně záviset na pravidlech (charging provisions IIR, UTPR) platných v jiných státech, kde má skupina členské entity, a na tom, zda jsou tato pravidla uznána jako kvalifikovaná. Je tomu tak proto, že pořadí pravidel (rule order) se uplatní pouze tehdy, když jurisdikce mají kvalifikovaná pravidla, jak jsou definována v modelových pravidlech (odst. 24 věta druhá GIR dokumentu OECD). V neposlední řadě lze zmínit, že stát může mít právo na zdanění i sám vůči sobě (odst. 25 GIR dokumentu OECD), např. v případě kvalifikované vnitrostátní dorovnávací daně nebo v případě tzv. vnitrostátního IIR (které uplatňuje i směrnice 2022/2523), které je založeno na tom, že pravidlo pro nedostatečně zdaněný zisk se vztahuje i na stát mateřské entity (srov. čl. 2.1.6 modelových pravidel, kde se naopak IIR uplatňuje pouze přeshraničně). V praxi tedy může nastat situace, kdy informační přehled určený k výměně a podaný v ČR bude obsahovat nejen informace určené jiným státům, ale i informace, na které má ČR nárok v souladu se způsobem šíření informací.</w:t>
      </w:r>
    </w:p>
    <w:p w14:paraId="3DCE0B0B" w14:textId="77777777" w:rsidR="00080508" w:rsidRPr="00643C7A" w:rsidRDefault="00080508" w:rsidP="00080508">
      <w:pPr>
        <w:pStyle w:val="Dvodovzprva"/>
        <w:rPr>
          <w:b/>
        </w:rPr>
      </w:pPr>
      <w:r w:rsidRPr="00643C7A">
        <w:rPr>
          <w:b/>
        </w:rPr>
        <w:t>Specifické postavení mají poté určité státy:</w:t>
      </w:r>
    </w:p>
    <w:p w14:paraId="248A79BE" w14:textId="77777777" w:rsidR="00080508" w:rsidRDefault="00080508" w:rsidP="00080508">
      <w:pPr>
        <w:pStyle w:val="Dvodovzprva"/>
        <w:numPr>
          <w:ilvl w:val="0"/>
          <w:numId w:val="22"/>
        </w:numPr>
      </w:pPr>
      <w:r>
        <w:t>Stát, který zavedl kvalifikované pravidlo pro zahrnutí zisku nebo kvalifikované pravidlo pro nedostatečně zdaněný zisk, ze kterého je nejvyšší mateřské entita, obdrží celý informační přehled.</w:t>
      </w:r>
    </w:p>
    <w:p w14:paraId="6F6D3235" w14:textId="316D44F4" w:rsidR="00080508" w:rsidRDefault="00080508" w:rsidP="00080508">
      <w:pPr>
        <w:pStyle w:val="Dvodovzprva"/>
        <w:numPr>
          <w:ilvl w:val="0"/>
          <w:numId w:val="22"/>
        </w:numPr>
      </w:pPr>
      <w:r>
        <w:t>Stát, který zavedl pravidlo pro nedostatečně zdaněný zisk, a jehož podíl na celkové dorovnávací dani skupiny ve vztahu k příslušnému státu je nulový (v anglickém jazyce se jedná o státy s „UTPR Percentage of zero“), obdrží pouze oddíl 3.4.3 (pakliže nebude mít v souladu s</w:t>
      </w:r>
      <w:r w:rsidR="00FE071D">
        <w:t>e způsobem šíření informací</w:t>
      </w:r>
      <w:r>
        <w:t xml:space="preserve"> právo na jiné části jurisdikčního oddílu daného státu).</w:t>
      </w:r>
    </w:p>
    <w:p w14:paraId="4B2C0055" w14:textId="77777777" w:rsidR="00080508" w:rsidRDefault="00080508" w:rsidP="00080508">
      <w:pPr>
        <w:pStyle w:val="Dvodovzprva"/>
        <w:numPr>
          <w:ilvl w:val="0"/>
          <w:numId w:val="22"/>
        </w:numPr>
      </w:pPr>
      <w:r>
        <w:t>Stát, který zavedl pouze kvalifikovanou vnitrostátní daň, pak ve vztahu k obecnému oddílu může obdržet při splnění podmínek pouze jeho část (bez oddílu 1.4).</w:t>
      </w:r>
    </w:p>
    <w:p w14:paraId="1A0F0F0C" w14:textId="77777777" w:rsidR="00080508" w:rsidRPr="00362637" w:rsidRDefault="00080508" w:rsidP="00F2560A">
      <w:pPr>
        <w:widowControl w:val="0"/>
        <w:spacing w:before="120" w:after="120"/>
        <w:jc w:val="center"/>
        <w:rPr>
          <w:b/>
          <w:bCs/>
          <w:iCs/>
          <w:sz w:val="28"/>
          <w:szCs w:val="28"/>
        </w:rPr>
      </w:pPr>
    </w:p>
    <w:sectPr w:rsidR="00080508" w:rsidRPr="00362637" w:rsidSect="00080508">
      <w:headerReference w:type="default" r:id="rId17"/>
      <w:footerReference w:type="default" r:id="rId18"/>
      <w:headerReference w:type="first" r:id="rId19"/>
      <w:type w:val="continuous"/>
      <w:pgSz w:w="11906" w:h="16838"/>
      <w:pgMar w:top="1417" w:right="1417" w:bottom="1417" w:left="1417"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717C1" w14:textId="77777777" w:rsidR="00694083" w:rsidRDefault="00694083" w:rsidP="005D2E08">
      <w:r>
        <w:separator/>
      </w:r>
    </w:p>
  </w:endnote>
  <w:endnote w:type="continuationSeparator" w:id="0">
    <w:p w14:paraId="4D20B27A" w14:textId="77777777" w:rsidR="00694083" w:rsidRDefault="00694083" w:rsidP="005D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F1603" w14:textId="77777777" w:rsidR="00071599" w:rsidRDefault="0007159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FE5" w14:textId="77777777" w:rsidR="00071599" w:rsidRDefault="0007159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F58C" w14:textId="77777777" w:rsidR="00071599" w:rsidRDefault="0007159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E96CC" w14:textId="77777777" w:rsidR="00CC519F" w:rsidRPr="000C6665" w:rsidRDefault="00CC519F">
    <w:pPr>
      <w:pStyle w:val="Zpat"/>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E4D32" w14:textId="77777777" w:rsidR="00694083" w:rsidRDefault="00694083" w:rsidP="005D2E08">
      <w:r>
        <w:separator/>
      </w:r>
    </w:p>
  </w:footnote>
  <w:footnote w:type="continuationSeparator" w:id="0">
    <w:p w14:paraId="60CFA433" w14:textId="77777777" w:rsidR="00694083" w:rsidRDefault="00694083" w:rsidP="005D2E08">
      <w:r>
        <w:continuationSeparator/>
      </w:r>
    </w:p>
  </w:footnote>
  <w:footnote w:id="1">
    <w:p w14:paraId="72159810" w14:textId="77777777" w:rsidR="00080508" w:rsidRDefault="00080508" w:rsidP="00080508">
      <w:pPr>
        <w:pStyle w:val="Textpoznpodarou"/>
      </w:pPr>
      <w:r>
        <w:rPr>
          <w:rStyle w:val="Znakapoznpodarou"/>
        </w:rPr>
        <w:footnoteRef/>
      </w:r>
      <w:r>
        <w:t xml:space="preserve"> </w:t>
      </w:r>
      <w:r w:rsidRPr="00982719">
        <w:t>https://www.oecd.org/en/publications/tax-challenges-arising-from-the-digitalisation-of-the-economy-globe-information-return-january-2025_a05ec99a-en.html</w:t>
      </w:r>
    </w:p>
  </w:footnote>
  <w:footnote w:id="2">
    <w:p w14:paraId="4177A030" w14:textId="77777777" w:rsidR="00080508" w:rsidRDefault="00080508" w:rsidP="00080508">
      <w:pPr>
        <w:pStyle w:val="Textpoznpodarou"/>
      </w:pPr>
      <w:r>
        <w:rPr>
          <w:rStyle w:val="Znakapoznpodarou"/>
        </w:rPr>
        <w:footnoteRef/>
      </w:r>
      <w:r>
        <w:t xml:space="preserve"> </w:t>
      </w:r>
      <w:hyperlink r:id="rId1" w:history="1">
        <w:r>
          <w:rPr>
            <w:rStyle w:val="Hypertextovodkaz"/>
          </w:rPr>
          <w:t>Support Materials - GloBE Information Return (Pillar Two) XML Schema | OECD</w:t>
        </w:r>
      </w:hyperlink>
    </w:p>
  </w:footnote>
  <w:footnote w:id="3">
    <w:p w14:paraId="25492D60" w14:textId="77777777" w:rsidR="00080508" w:rsidRDefault="00080508" w:rsidP="00080508">
      <w:pPr>
        <w:pStyle w:val="Textpoznpodarou"/>
      </w:pPr>
      <w:r>
        <w:rPr>
          <w:rStyle w:val="Znakapoznpodarou"/>
        </w:rPr>
        <w:footnoteRef/>
      </w:r>
      <w:r>
        <w:t xml:space="preserve"> </w:t>
      </w:r>
      <w:hyperlink r:id="rId2" w:history="1">
        <w:r>
          <w:rPr>
            <w:rStyle w:val="Hypertextovodkaz"/>
          </w:rPr>
          <w:t>GloBE Information Return (Pillar Two) XML Schema | OECD</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0D9" w14:textId="77777777" w:rsidR="00080508" w:rsidRDefault="00080508">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DE7878F" w14:textId="77777777" w:rsidR="00080508" w:rsidRDefault="0008050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C2FE" w14:textId="64582A0B" w:rsidR="00080508" w:rsidRDefault="00080508">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071599">
      <w:rPr>
        <w:rStyle w:val="slostrnky"/>
        <w:noProof/>
      </w:rPr>
      <w:t>139</w:t>
    </w:r>
    <w:r>
      <w:rPr>
        <w:rStyle w:val="slostrnky"/>
      </w:rPr>
      <w:fldChar w:fldCharType="end"/>
    </w:r>
    <w:r>
      <w:rPr>
        <w:rStyle w:val="slostrnky"/>
      </w:rPr>
      <w:t xml:space="preserve"> -</w:t>
    </w:r>
  </w:p>
  <w:p w14:paraId="7A527B1D" w14:textId="77777777" w:rsidR="00080508" w:rsidRDefault="000805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84CE5" w14:textId="77777777" w:rsidR="00080508" w:rsidRPr="00214DD0" w:rsidRDefault="00080508" w:rsidP="00214DD0">
    <w:pPr>
      <w:pStyle w:val="Zhlav"/>
      <w:jc w:val="right"/>
      <w:rPr>
        <w:b/>
      </w:rPr>
    </w:pPr>
    <w:r w:rsidRPr="00214DD0">
      <w:rPr>
        <w:b/>
      </w:rPr>
      <w:t>III.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5901353"/>
      <w:docPartObj>
        <w:docPartGallery w:val="Page Numbers (Top of Page)"/>
        <w:docPartUnique/>
      </w:docPartObj>
    </w:sdtPr>
    <w:sdtEndPr>
      <w:rPr>
        <w:sz w:val="22"/>
        <w:szCs w:val="22"/>
      </w:rPr>
    </w:sdtEndPr>
    <w:sdtContent>
      <w:p w14:paraId="7DB7334B" w14:textId="6471061C" w:rsidR="00CC519F" w:rsidRPr="00A2656D" w:rsidRDefault="00CC519F">
        <w:pPr>
          <w:pStyle w:val="Zhlav"/>
          <w:jc w:val="center"/>
          <w:rPr>
            <w:sz w:val="22"/>
            <w:szCs w:val="22"/>
          </w:rPr>
        </w:pPr>
        <w:r w:rsidRPr="00A2656D">
          <w:rPr>
            <w:sz w:val="22"/>
            <w:szCs w:val="22"/>
          </w:rPr>
          <w:fldChar w:fldCharType="begin"/>
        </w:r>
        <w:r w:rsidRPr="00A2656D">
          <w:rPr>
            <w:sz w:val="22"/>
            <w:szCs w:val="22"/>
          </w:rPr>
          <w:instrText>PAGE   \* MERGEFORMAT</w:instrText>
        </w:r>
        <w:r w:rsidRPr="00A2656D">
          <w:rPr>
            <w:sz w:val="22"/>
            <w:szCs w:val="22"/>
          </w:rPr>
          <w:fldChar w:fldCharType="separate"/>
        </w:r>
        <w:r w:rsidR="00071599">
          <w:rPr>
            <w:noProof/>
            <w:sz w:val="22"/>
            <w:szCs w:val="22"/>
          </w:rPr>
          <w:t>- 143 -</w:t>
        </w:r>
        <w:r w:rsidRPr="00A2656D">
          <w:rPr>
            <w:sz w:val="22"/>
            <w:szCs w:val="22"/>
          </w:rPr>
          <w:fldChar w:fldCharType="end"/>
        </w:r>
      </w:p>
    </w:sdtContent>
  </w:sdt>
  <w:p w14:paraId="7837BBC1" w14:textId="77777777" w:rsidR="00CC519F" w:rsidRDefault="00CC519F">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BA3FA" w14:textId="12DC968C" w:rsidR="00CC519F" w:rsidRPr="005F2E73" w:rsidRDefault="00CC519F" w:rsidP="005F2E73">
    <w:pPr>
      <w:pStyle w:val="Zhlav"/>
      <w:jc w:val="right"/>
      <w:rPr>
        <w:b/>
      </w:rPr>
    </w:pPr>
    <w:r w:rsidRPr="005F2E73">
      <w:rPr>
        <w:b/>
      </w:rPr>
      <w:t>III.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7DC56"/>
    <w:multiLevelType w:val="hybridMultilevel"/>
    <w:tmpl w:val="C8E4D0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04789"/>
    <w:multiLevelType w:val="hybridMultilevel"/>
    <w:tmpl w:val="2188D82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45BD4"/>
    <w:multiLevelType w:val="hybridMultilevel"/>
    <w:tmpl w:val="31ECB1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2FD37EA"/>
    <w:multiLevelType w:val="hybridMultilevel"/>
    <w:tmpl w:val="1A3604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49953FD"/>
    <w:multiLevelType w:val="hybridMultilevel"/>
    <w:tmpl w:val="90A0B3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C2D7B30"/>
    <w:multiLevelType w:val="hybridMultilevel"/>
    <w:tmpl w:val="738AD40C"/>
    <w:lvl w:ilvl="0" w:tplc="DC28A036">
      <w:start w:val="1"/>
      <w:numFmt w:val="lowerLetter"/>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CBC6DCC"/>
    <w:multiLevelType w:val="hybridMultilevel"/>
    <w:tmpl w:val="D048EB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7E346CA"/>
    <w:multiLevelType w:val="hybridMultilevel"/>
    <w:tmpl w:val="D4AA3484"/>
    <w:lvl w:ilvl="0" w:tplc="D040A3B2">
      <w:start w:val="1"/>
      <w:numFmt w:val="bullet"/>
      <w:lvlText w:val="-"/>
      <w:lvlJc w:val="left"/>
      <w:pPr>
        <w:ind w:left="720" w:hanging="360"/>
      </w:pPr>
      <w:rPr>
        <w:rFonts w:ascii="Arial" w:eastAsiaTheme="minorHAnsi" w:hAnsi="Arial" w:cs="Arial" w:hint="default"/>
      </w:rPr>
    </w:lvl>
    <w:lvl w:ilvl="1" w:tplc="ECA4EA1C">
      <w:start w:val="1"/>
      <w:numFmt w:val="bullet"/>
      <w:lvlText w:val="−"/>
      <w:lvlJc w:val="left"/>
      <w:pPr>
        <w:ind w:left="1440" w:hanging="360"/>
      </w:pPr>
      <w:rPr>
        <w:rFonts w:ascii="Arial" w:hAnsi="Aria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961727C"/>
    <w:multiLevelType w:val="hybridMultilevel"/>
    <w:tmpl w:val="A89AA7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F9C077D"/>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4605B08"/>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82154D6"/>
    <w:multiLevelType w:val="hybridMultilevel"/>
    <w:tmpl w:val="C86C8F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9D52918"/>
    <w:multiLevelType w:val="hybridMultilevel"/>
    <w:tmpl w:val="81D42C5E"/>
    <w:lvl w:ilvl="0" w:tplc="DE562182">
      <w:start w:val="1"/>
      <w:numFmt w:val="lowerLetter"/>
      <w:lvlText w:val="%1)"/>
      <w:lvlJc w:val="left"/>
      <w:pPr>
        <w:ind w:left="108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AF09AE"/>
    <w:multiLevelType w:val="hybridMultilevel"/>
    <w:tmpl w:val="5BF4F54C"/>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53761C1E"/>
    <w:multiLevelType w:val="hybridMultilevel"/>
    <w:tmpl w:val="DDE4F59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54992E1E"/>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56954C8"/>
    <w:multiLevelType w:val="hybridMultilevel"/>
    <w:tmpl w:val="A9A0DAA4"/>
    <w:lvl w:ilvl="0" w:tplc="04050011">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5731400D"/>
    <w:multiLevelType w:val="hybridMultilevel"/>
    <w:tmpl w:val="002AA48A"/>
    <w:lvl w:ilvl="0" w:tplc="04050001">
      <w:start w:val="1"/>
      <w:numFmt w:val="bullet"/>
      <w:lvlText w:val=""/>
      <w:lvlJc w:val="left"/>
      <w:pPr>
        <w:ind w:left="1070" w:hanging="360"/>
      </w:pPr>
      <w:rPr>
        <w:rFonts w:ascii="Symbol"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8" w15:restartNumberingAfterBreak="0">
    <w:nsid w:val="69F22707"/>
    <w:multiLevelType w:val="hybridMultilevel"/>
    <w:tmpl w:val="E7044852"/>
    <w:lvl w:ilvl="0" w:tplc="57026240">
      <w:start w:val="1"/>
      <w:numFmt w:val="bullet"/>
      <w:lvlText w:val=""/>
      <w:lvlJc w:val="left"/>
      <w:pPr>
        <w:ind w:left="360" w:hanging="360"/>
      </w:pPr>
      <w:rPr>
        <w:rFonts w:ascii="Symbol" w:hAnsi="Symbol" w:hint="default"/>
        <w:color w:val="auto"/>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9" w15:restartNumberingAfterBreak="0">
    <w:nsid w:val="6EB14594"/>
    <w:multiLevelType w:val="hybridMultilevel"/>
    <w:tmpl w:val="925A0D5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6340141"/>
    <w:multiLevelType w:val="hybridMultilevel"/>
    <w:tmpl w:val="8D50B5FE"/>
    <w:lvl w:ilvl="0" w:tplc="2DA2EC7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7A4A39D4"/>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14"/>
  </w:num>
  <w:num w:numId="5">
    <w:abstractNumId w:val="6"/>
  </w:num>
  <w:num w:numId="6">
    <w:abstractNumId w:val="4"/>
  </w:num>
  <w:num w:numId="7">
    <w:abstractNumId w:val="8"/>
  </w:num>
  <w:num w:numId="8">
    <w:abstractNumId w:val="15"/>
  </w:num>
  <w:num w:numId="9">
    <w:abstractNumId w:val="10"/>
  </w:num>
  <w:num w:numId="10">
    <w:abstractNumId w:val="9"/>
  </w:num>
  <w:num w:numId="11">
    <w:abstractNumId w:val="16"/>
  </w:num>
  <w:num w:numId="12">
    <w:abstractNumId w:val="13"/>
  </w:num>
  <w:num w:numId="13">
    <w:abstractNumId w:val="7"/>
  </w:num>
  <w:num w:numId="14">
    <w:abstractNumId w:val="20"/>
  </w:num>
  <w:num w:numId="15">
    <w:abstractNumId w:val="5"/>
  </w:num>
  <w:num w:numId="16">
    <w:abstractNumId w:val="12"/>
  </w:num>
  <w:num w:numId="17">
    <w:abstractNumId w:val="17"/>
  </w:num>
  <w:num w:numId="18">
    <w:abstractNumId w:val="18"/>
  </w:num>
  <w:num w:numId="19">
    <w:abstractNumId w:val="21"/>
  </w:num>
  <w:num w:numId="20">
    <w:abstractNumId w:val="1"/>
  </w:num>
  <w:num w:numId="21">
    <w:abstractNumId w:val="0"/>
  </w:num>
  <w:num w:numId="22">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02B"/>
    <w:rsid w:val="0000086C"/>
    <w:rsid w:val="00002B33"/>
    <w:rsid w:val="000030C7"/>
    <w:rsid w:val="00003803"/>
    <w:rsid w:val="000041B0"/>
    <w:rsid w:val="00004707"/>
    <w:rsid w:val="00004DEE"/>
    <w:rsid w:val="0000649D"/>
    <w:rsid w:val="00006522"/>
    <w:rsid w:val="00006B63"/>
    <w:rsid w:val="00006BA3"/>
    <w:rsid w:val="00010065"/>
    <w:rsid w:val="0001027C"/>
    <w:rsid w:val="000102D7"/>
    <w:rsid w:val="00010775"/>
    <w:rsid w:val="00010F0D"/>
    <w:rsid w:val="00011B85"/>
    <w:rsid w:val="00012FC6"/>
    <w:rsid w:val="00014273"/>
    <w:rsid w:val="00014343"/>
    <w:rsid w:val="000147DA"/>
    <w:rsid w:val="00015CC1"/>
    <w:rsid w:val="00015E76"/>
    <w:rsid w:val="00017B37"/>
    <w:rsid w:val="000216F7"/>
    <w:rsid w:val="000218CE"/>
    <w:rsid w:val="00021BCD"/>
    <w:rsid w:val="0002214C"/>
    <w:rsid w:val="00023615"/>
    <w:rsid w:val="0002450E"/>
    <w:rsid w:val="00024965"/>
    <w:rsid w:val="000254A5"/>
    <w:rsid w:val="00025E4E"/>
    <w:rsid w:val="00032DEA"/>
    <w:rsid w:val="00033E85"/>
    <w:rsid w:val="00035564"/>
    <w:rsid w:val="00036995"/>
    <w:rsid w:val="00037C79"/>
    <w:rsid w:val="00037D09"/>
    <w:rsid w:val="00041DB5"/>
    <w:rsid w:val="00043775"/>
    <w:rsid w:val="00043AC0"/>
    <w:rsid w:val="00044378"/>
    <w:rsid w:val="00044AF8"/>
    <w:rsid w:val="00044D1B"/>
    <w:rsid w:val="000452C4"/>
    <w:rsid w:val="0004531E"/>
    <w:rsid w:val="00045852"/>
    <w:rsid w:val="00045CF0"/>
    <w:rsid w:val="000461F8"/>
    <w:rsid w:val="00046E08"/>
    <w:rsid w:val="00046FE0"/>
    <w:rsid w:val="00047164"/>
    <w:rsid w:val="00047980"/>
    <w:rsid w:val="00047D80"/>
    <w:rsid w:val="00050DB1"/>
    <w:rsid w:val="0005149F"/>
    <w:rsid w:val="00052EB3"/>
    <w:rsid w:val="000531DE"/>
    <w:rsid w:val="000539B8"/>
    <w:rsid w:val="00054248"/>
    <w:rsid w:val="00055A2E"/>
    <w:rsid w:val="000569D3"/>
    <w:rsid w:val="00056B6E"/>
    <w:rsid w:val="00060EE2"/>
    <w:rsid w:val="00061CF0"/>
    <w:rsid w:val="000626E1"/>
    <w:rsid w:val="00062975"/>
    <w:rsid w:val="000629F9"/>
    <w:rsid w:val="00063D0B"/>
    <w:rsid w:val="00063D95"/>
    <w:rsid w:val="0006419F"/>
    <w:rsid w:val="00064250"/>
    <w:rsid w:val="000646B7"/>
    <w:rsid w:val="000646C2"/>
    <w:rsid w:val="0006714B"/>
    <w:rsid w:val="000703AC"/>
    <w:rsid w:val="00070BE4"/>
    <w:rsid w:val="00070DD8"/>
    <w:rsid w:val="00071599"/>
    <w:rsid w:val="00072E5B"/>
    <w:rsid w:val="0007382A"/>
    <w:rsid w:val="000749D2"/>
    <w:rsid w:val="000754CA"/>
    <w:rsid w:val="00075666"/>
    <w:rsid w:val="00075D2E"/>
    <w:rsid w:val="00076FB1"/>
    <w:rsid w:val="00077974"/>
    <w:rsid w:val="00077F09"/>
    <w:rsid w:val="000800FD"/>
    <w:rsid w:val="00080508"/>
    <w:rsid w:val="000809B2"/>
    <w:rsid w:val="00081DB0"/>
    <w:rsid w:val="00081EE9"/>
    <w:rsid w:val="00081F4A"/>
    <w:rsid w:val="000839F3"/>
    <w:rsid w:val="00083DDF"/>
    <w:rsid w:val="00084583"/>
    <w:rsid w:val="00084688"/>
    <w:rsid w:val="00085F53"/>
    <w:rsid w:val="000862E0"/>
    <w:rsid w:val="00086887"/>
    <w:rsid w:val="00087D33"/>
    <w:rsid w:val="00090CBC"/>
    <w:rsid w:val="000923E1"/>
    <w:rsid w:val="000925B5"/>
    <w:rsid w:val="00092A3C"/>
    <w:rsid w:val="00093740"/>
    <w:rsid w:val="000938F5"/>
    <w:rsid w:val="00093B03"/>
    <w:rsid w:val="000948EF"/>
    <w:rsid w:val="00094EDD"/>
    <w:rsid w:val="00095233"/>
    <w:rsid w:val="00095422"/>
    <w:rsid w:val="00095D2B"/>
    <w:rsid w:val="00096385"/>
    <w:rsid w:val="00096D51"/>
    <w:rsid w:val="00096DF6"/>
    <w:rsid w:val="000A202A"/>
    <w:rsid w:val="000A2E9D"/>
    <w:rsid w:val="000A30EA"/>
    <w:rsid w:val="000A7497"/>
    <w:rsid w:val="000B02EF"/>
    <w:rsid w:val="000B0B3A"/>
    <w:rsid w:val="000B0FCA"/>
    <w:rsid w:val="000B1AA5"/>
    <w:rsid w:val="000B6149"/>
    <w:rsid w:val="000B7F41"/>
    <w:rsid w:val="000C0A71"/>
    <w:rsid w:val="000C2AC6"/>
    <w:rsid w:val="000C3AE9"/>
    <w:rsid w:val="000C5270"/>
    <w:rsid w:val="000C6665"/>
    <w:rsid w:val="000C68D0"/>
    <w:rsid w:val="000C7A72"/>
    <w:rsid w:val="000D075A"/>
    <w:rsid w:val="000D137F"/>
    <w:rsid w:val="000D1495"/>
    <w:rsid w:val="000D3BD6"/>
    <w:rsid w:val="000D415B"/>
    <w:rsid w:val="000D43AC"/>
    <w:rsid w:val="000D5301"/>
    <w:rsid w:val="000E0C1E"/>
    <w:rsid w:val="000E230C"/>
    <w:rsid w:val="000E3431"/>
    <w:rsid w:val="000E3779"/>
    <w:rsid w:val="000E37C9"/>
    <w:rsid w:val="000E5ABE"/>
    <w:rsid w:val="000E70F4"/>
    <w:rsid w:val="000F00B6"/>
    <w:rsid w:val="000F0EB5"/>
    <w:rsid w:val="000F115B"/>
    <w:rsid w:val="000F29F5"/>
    <w:rsid w:val="000F30C6"/>
    <w:rsid w:val="000F38CD"/>
    <w:rsid w:val="000F41EB"/>
    <w:rsid w:val="000F5B78"/>
    <w:rsid w:val="000F5C62"/>
    <w:rsid w:val="000F6224"/>
    <w:rsid w:val="000F6828"/>
    <w:rsid w:val="00101376"/>
    <w:rsid w:val="001032A4"/>
    <w:rsid w:val="001039B6"/>
    <w:rsid w:val="00103A5E"/>
    <w:rsid w:val="001053DF"/>
    <w:rsid w:val="00106442"/>
    <w:rsid w:val="001070A7"/>
    <w:rsid w:val="00107B10"/>
    <w:rsid w:val="00107BF9"/>
    <w:rsid w:val="00110EAB"/>
    <w:rsid w:val="00111865"/>
    <w:rsid w:val="00116AB7"/>
    <w:rsid w:val="00116B81"/>
    <w:rsid w:val="00120B2E"/>
    <w:rsid w:val="00121118"/>
    <w:rsid w:val="00121552"/>
    <w:rsid w:val="001218C9"/>
    <w:rsid w:val="00121CD3"/>
    <w:rsid w:val="00123388"/>
    <w:rsid w:val="001239C6"/>
    <w:rsid w:val="00123B60"/>
    <w:rsid w:val="001248AB"/>
    <w:rsid w:val="001260EB"/>
    <w:rsid w:val="001279E1"/>
    <w:rsid w:val="001311E2"/>
    <w:rsid w:val="00132F7C"/>
    <w:rsid w:val="00135B6A"/>
    <w:rsid w:val="00135ECD"/>
    <w:rsid w:val="00137E7E"/>
    <w:rsid w:val="00140F84"/>
    <w:rsid w:val="0014103F"/>
    <w:rsid w:val="001424F8"/>
    <w:rsid w:val="00142F4A"/>
    <w:rsid w:val="00143B07"/>
    <w:rsid w:val="00144352"/>
    <w:rsid w:val="00145AAB"/>
    <w:rsid w:val="00145DF5"/>
    <w:rsid w:val="00146022"/>
    <w:rsid w:val="001472A5"/>
    <w:rsid w:val="00147989"/>
    <w:rsid w:val="00147C8D"/>
    <w:rsid w:val="001510E8"/>
    <w:rsid w:val="00151931"/>
    <w:rsid w:val="00152957"/>
    <w:rsid w:val="00152B04"/>
    <w:rsid w:val="00152FB8"/>
    <w:rsid w:val="00154E3C"/>
    <w:rsid w:val="001554E6"/>
    <w:rsid w:val="001571DC"/>
    <w:rsid w:val="00157760"/>
    <w:rsid w:val="00157A53"/>
    <w:rsid w:val="00160030"/>
    <w:rsid w:val="001618A3"/>
    <w:rsid w:val="00161A05"/>
    <w:rsid w:val="00162339"/>
    <w:rsid w:val="0016334A"/>
    <w:rsid w:val="0016411F"/>
    <w:rsid w:val="00164680"/>
    <w:rsid w:val="001657CA"/>
    <w:rsid w:val="0017047B"/>
    <w:rsid w:val="00171A4A"/>
    <w:rsid w:val="00171C01"/>
    <w:rsid w:val="001726CA"/>
    <w:rsid w:val="001726D9"/>
    <w:rsid w:val="00172DAB"/>
    <w:rsid w:val="00173389"/>
    <w:rsid w:val="0017354D"/>
    <w:rsid w:val="00174279"/>
    <w:rsid w:val="001758FB"/>
    <w:rsid w:val="00175E6C"/>
    <w:rsid w:val="00176989"/>
    <w:rsid w:val="00180FA0"/>
    <w:rsid w:val="00181310"/>
    <w:rsid w:val="0018173D"/>
    <w:rsid w:val="00181E54"/>
    <w:rsid w:val="001835E4"/>
    <w:rsid w:val="00185CB5"/>
    <w:rsid w:val="001870D2"/>
    <w:rsid w:val="0018777F"/>
    <w:rsid w:val="00190C6E"/>
    <w:rsid w:val="00190D6E"/>
    <w:rsid w:val="0019215C"/>
    <w:rsid w:val="001933D0"/>
    <w:rsid w:val="00193826"/>
    <w:rsid w:val="00193BD7"/>
    <w:rsid w:val="0019407F"/>
    <w:rsid w:val="00194484"/>
    <w:rsid w:val="00194818"/>
    <w:rsid w:val="001951B7"/>
    <w:rsid w:val="0019603E"/>
    <w:rsid w:val="001971BC"/>
    <w:rsid w:val="00197794"/>
    <w:rsid w:val="001A22D8"/>
    <w:rsid w:val="001A2A2E"/>
    <w:rsid w:val="001A3E05"/>
    <w:rsid w:val="001A5363"/>
    <w:rsid w:val="001A56B3"/>
    <w:rsid w:val="001A5908"/>
    <w:rsid w:val="001A6D51"/>
    <w:rsid w:val="001A7535"/>
    <w:rsid w:val="001B0737"/>
    <w:rsid w:val="001B0E3E"/>
    <w:rsid w:val="001B2F6B"/>
    <w:rsid w:val="001B4054"/>
    <w:rsid w:val="001B51D5"/>
    <w:rsid w:val="001B6FC5"/>
    <w:rsid w:val="001C06EA"/>
    <w:rsid w:val="001C17CA"/>
    <w:rsid w:val="001C1E70"/>
    <w:rsid w:val="001C2326"/>
    <w:rsid w:val="001C28DB"/>
    <w:rsid w:val="001C31A0"/>
    <w:rsid w:val="001C3340"/>
    <w:rsid w:val="001C3953"/>
    <w:rsid w:val="001C4CE5"/>
    <w:rsid w:val="001C6960"/>
    <w:rsid w:val="001C73B6"/>
    <w:rsid w:val="001D0FFC"/>
    <w:rsid w:val="001D1EC2"/>
    <w:rsid w:val="001D4CC5"/>
    <w:rsid w:val="001D6B82"/>
    <w:rsid w:val="001D7463"/>
    <w:rsid w:val="001E0645"/>
    <w:rsid w:val="001E0A05"/>
    <w:rsid w:val="001E0DC6"/>
    <w:rsid w:val="001E125C"/>
    <w:rsid w:val="001E1E4E"/>
    <w:rsid w:val="001E259D"/>
    <w:rsid w:val="001E41FA"/>
    <w:rsid w:val="001E4C79"/>
    <w:rsid w:val="001F001E"/>
    <w:rsid w:val="001F09AD"/>
    <w:rsid w:val="001F3EA4"/>
    <w:rsid w:val="001F4E55"/>
    <w:rsid w:val="001F5525"/>
    <w:rsid w:val="001F7C0C"/>
    <w:rsid w:val="0020012A"/>
    <w:rsid w:val="00200B80"/>
    <w:rsid w:val="00201E8F"/>
    <w:rsid w:val="00202879"/>
    <w:rsid w:val="00202E39"/>
    <w:rsid w:val="00203365"/>
    <w:rsid w:val="00203626"/>
    <w:rsid w:val="00203F5E"/>
    <w:rsid w:val="0020633F"/>
    <w:rsid w:val="002077C5"/>
    <w:rsid w:val="00207D92"/>
    <w:rsid w:val="00210757"/>
    <w:rsid w:val="00210D64"/>
    <w:rsid w:val="00210FB7"/>
    <w:rsid w:val="0021124F"/>
    <w:rsid w:val="00211A52"/>
    <w:rsid w:val="00211B39"/>
    <w:rsid w:val="00211F55"/>
    <w:rsid w:val="0021228C"/>
    <w:rsid w:val="00212556"/>
    <w:rsid w:val="0021260B"/>
    <w:rsid w:val="00212B47"/>
    <w:rsid w:val="00214CCB"/>
    <w:rsid w:val="00215CF9"/>
    <w:rsid w:val="00216D78"/>
    <w:rsid w:val="0021775F"/>
    <w:rsid w:val="00217C71"/>
    <w:rsid w:val="00217F64"/>
    <w:rsid w:val="00221D7D"/>
    <w:rsid w:val="002239B2"/>
    <w:rsid w:val="00223FAF"/>
    <w:rsid w:val="0022452A"/>
    <w:rsid w:val="00224D06"/>
    <w:rsid w:val="00226E15"/>
    <w:rsid w:val="002303DD"/>
    <w:rsid w:val="00230538"/>
    <w:rsid w:val="00231712"/>
    <w:rsid w:val="00231CBC"/>
    <w:rsid w:val="00232D88"/>
    <w:rsid w:val="00232F2C"/>
    <w:rsid w:val="002335FA"/>
    <w:rsid w:val="00234A5D"/>
    <w:rsid w:val="0023651A"/>
    <w:rsid w:val="0023779B"/>
    <w:rsid w:val="00237EBC"/>
    <w:rsid w:val="0024065A"/>
    <w:rsid w:val="002412A3"/>
    <w:rsid w:val="0024165A"/>
    <w:rsid w:val="00241F95"/>
    <w:rsid w:val="002429F6"/>
    <w:rsid w:val="00242A74"/>
    <w:rsid w:val="00244711"/>
    <w:rsid w:val="0024486F"/>
    <w:rsid w:val="002448B3"/>
    <w:rsid w:val="00245008"/>
    <w:rsid w:val="002519A2"/>
    <w:rsid w:val="00252538"/>
    <w:rsid w:val="00252898"/>
    <w:rsid w:val="002550D4"/>
    <w:rsid w:val="002555C4"/>
    <w:rsid w:val="00255AAC"/>
    <w:rsid w:val="00255D33"/>
    <w:rsid w:val="0025764D"/>
    <w:rsid w:val="0025777A"/>
    <w:rsid w:val="0026117A"/>
    <w:rsid w:val="00262CF9"/>
    <w:rsid w:val="002640E4"/>
    <w:rsid w:val="00265102"/>
    <w:rsid w:val="002657E9"/>
    <w:rsid w:val="00265CB7"/>
    <w:rsid w:val="0026671E"/>
    <w:rsid w:val="002673ED"/>
    <w:rsid w:val="00271ACC"/>
    <w:rsid w:val="00271C75"/>
    <w:rsid w:val="002737E0"/>
    <w:rsid w:val="00273D50"/>
    <w:rsid w:val="0027444F"/>
    <w:rsid w:val="002746E2"/>
    <w:rsid w:val="002757AB"/>
    <w:rsid w:val="00275BF2"/>
    <w:rsid w:val="00275CEC"/>
    <w:rsid w:val="00276143"/>
    <w:rsid w:val="00276883"/>
    <w:rsid w:val="00276996"/>
    <w:rsid w:val="0027756B"/>
    <w:rsid w:val="0028089E"/>
    <w:rsid w:val="00280959"/>
    <w:rsid w:val="0028123B"/>
    <w:rsid w:val="00281EE1"/>
    <w:rsid w:val="0028485D"/>
    <w:rsid w:val="00284AB5"/>
    <w:rsid w:val="00284B33"/>
    <w:rsid w:val="00286268"/>
    <w:rsid w:val="002865AB"/>
    <w:rsid w:val="0028783C"/>
    <w:rsid w:val="002909FD"/>
    <w:rsid w:val="00290AED"/>
    <w:rsid w:val="00290BE4"/>
    <w:rsid w:val="00291AAB"/>
    <w:rsid w:val="002936F6"/>
    <w:rsid w:val="002937B6"/>
    <w:rsid w:val="00297C10"/>
    <w:rsid w:val="002A3018"/>
    <w:rsid w:val="002A31C2"/>
    <w:rsid w:val="002A36E1"/>
    <w:rsid w:val="002A37A7"/>
    <w:rsid w:val="002A3B5D"/>
    <w:rsid w:val="002A449F"/>
    <w:rsid w:val="002A543F"/>
    <w:rsid w:val="002A5769"/>
    <w:rsid w:val="002A5A06"/>
    <w:rsid w:val="002A5D7B"/>
    <w:rsid w:val="002A68FE"/>
    <w:rsid w:val="002B0C4B"/>
    <w:rsid w:val="002B10A8"/>
    <w:rsid w:val="002B15E2"/>
    <w:rsid w:val="002B1B96"/>
    <w:rsid w:val="002B2609"/>
    <w:rsid w:val="002B26A6"/>
    <w:rsid w:val="002B28CE"/>
    <w:rsid w:val="002B5360"/>
    <w:rsid w:val="002B56AF"/>
    <w:rsid w:val="002B57EC"/>
    <w:rsid w:val="002B6093"/>
    <w:rsid w:val="002B6288"/>
    <w:rsid w:val="002B78FD"/>
    <w:rsid w:val="002C0143"/>
    <w:rsid w:val="002C024F"/>
    <w:rsid w:val="002C07D1"/>
    <w:rsid w:val="002C1BE4"/>
    <w:rsid w:val="002C26D7"/>
    <w:rsid w:val="002C346C"/>
    <w:rsid w:val="002C38D2"/>
    <w:rsid w:val="002C6692"/>
    <w:rsid w:val="002C6C23"/>
    <w:rsid w:val="002C7F37"/>
    <w:rsid w:val="002C7F95"/>
    <w:rsid w:val="002D0230"/>
    <w:rsid w:val="002D0DEA"/>
    <w:rsid w:val="002D1225"/>
    <w:rsid w:val="002D352C"/>
    <w:rsid w:val="002D4639"/>
    <w:rsid w:val="002D4A2F"/>
    <w:rsid w:val="002D5145"/>
    <w:rsid w:val="002D55AE"/>
    <w:rsid w:val="002D5DF2"/>
    <w:rsid w:val="002D6145"/>
    <w:rsid w:val="002D6E3F"/>
    <w:rsid w:val="002D7033"/>
    <w:rsid w:val="002D9111"/>
    <w:rsid w:val="002E22B2"/>
    <w:rsid w:val="002E31D8"/>
    <w:rsid w:val="002E3A49"/>
    <w:rsid w:val="002E4507"/>
    <w:rsid w:val="002E6254"/>
    <w:rsid w:val="002E6A1C"/>
    <w:rsid w:val="002F26FA"/>
    <w:rsid w:val="002F3283"/>
    <w:rsid w:val="002F3CE9"/>
    <w:rsid w:val="002F3E0E"/>
    <w:rsid w:val="002F533E"/>
    <w:rsid w:val="002F573D"/>
    <w:rsid w:val="002F592F"/>
    <w:rsid w:val="002F5957"/>
    <w:rsid w:val="002F5C81"/>
    <w:rsid w:val="002F62A1"/>
    <w:rsid w:val="002F65C7"/>
    <w:rsid w:val="002F78AB"/>
    <w:rsid w:val="002F7F18"/>
    <w:rsid w:val="00302292"/>
    <w:rsid w:val="0030229F"/>
    <w:rsid w:val="0030320A"/>
    <w:rsid w:val="00303256"/>
    <w:rsid w:val="003041D3"/>
    <w:rsid w:val="00304F58"/>
    <w:rsid w:val="00304F9F"/>
    <w:rsid w:val="0030628C"/>
    <w:rsid w:val="00310637"/>
    <w:rsid w:val="003107C4"/>
    <w:rsid w:val="003107D4"/>
    <w:rsid w:val="0031271C"/>
    <w:rsid w:val="00312B58"/>
    <w:rsid w:val="00312C1A"/>
    <w:rsid w:val="00313C1F"/>
    <w:rsid w:val="00313C44"/>
    <w:rsid w:val="00314EB7"/>
    <w:rsid w:val="0031596F"/>
    <w:rsid w:val="0031631A"/>
    <w:rsid w:val="00317C9C"/>
    <w:rsid w:val="00321163"/>
    <w:rsid w:val="00323B56"/>
    <w:rsid w:val="003248AD"/>
    <w:rsid w:val="003248B6"/>
    <w:rsid w:val="003253D0"/>
    <w:rsid w:val="00326CFC"/>
    <w:rsid w:val="0032775A"/>
    <w:rsid w:val="00332151"/>
    <w:rsid w:val="00332D0D"/>
    <w:rsid w:val="003337B0"/>
    <w:rsid w:val="00333821"/>
    <w:rsid w:val="003338DB"/>
    <w:rsid w:val="00334501"/>
    <w:rsid w:val="003353A4"/>
    <w:rsid w:val="00336B57"/>
    <w:rsid w:val="00336FAA"/>
    <w:rsid w:val="0033726E"/>
    <w:rsid w:val="003375A7"/>
    <w:rsid w:val="00341AC3"/>
    <w:rsid w:val="003430EA"/>
    <w:rsid w:val="00344DA6"/>
    <w:rsid w:val="00345618"/>
    <w:rsid w:val="00346755"/>
    <w:rsid w:val="003476E5"/>
    <w:rsid w:val="00347FCA"/>
    <w:rsid w:val="00351EAD"/>
    <w:rsid w:val="0035307A"/>
    <w:rsid w:val="0035320C"/>
    <w:rsid w:val="00353DD7"/>
    <w:rsid w:val="00354876"/>
    <w:rsid w:val="00355DDA"/>
    <w:rsid w:val="003569D9"/>
    <w:rsid w:val="00356DA3"/>
    <w:rsid w:val="0036026A"/>
    <w:rsid w:val="003608C7"/>
    <w:rsid w:val="00361C35"/>
    <w:rsid w:val="00362637"/>
    <w:rsid w:val="00362C37"/>
    <w:rsid w:val="00362C59"/>
    <w:rsid w:val="00362EF9"/>
    <w:rsid w:val="00363EDA"/>
    <w:rsid w:val="00364226"/>
    <w:rsid w:val="003642AD"/>
    <w:rsid w:val="00365404"/>
    <w:rsid w:val="003655EA"/>
    <w:rsid w:val="00365960"/>
    <w:rsid w:val="0036598F"/>
    <w:rsid w:val="003661A0"/>
    <w:rsid w:val="00367EE0"/>
    <w:rsid w:val="0037302D"/>
    <w:rsid w:val="0037313C"/>
    <w:rsid w:val="0037504B"/>
    <w:rsid w:val="0037511D"/>
    <w:rsid w:val="003761D6"/>
    <w:rsid w:val="00376A25"/>
    <w:rsid w:val="00377BB9"/>
    <w:rsid w:val="00380D8C"/>
    <w:rsid w:val="003811B9"/>
    <w:rsid w:val="00382634"/>
    <w:rsid w:val="00384030"/>
    <w:rsid w:val="003847F4"/>
    <w:rsid w:val="003856EE"/>
    <w:rsid w:val="003873A4"/>
    <w:rsid w:val="00387436"/>
    <w:rsid w:val="00387A90"/>
    <w:rsid w:val="0039032D"/>
    <w:rsid w:val="0039126B"/>
    <w:rsid w:val="00391415"/>
    <w:rsid w:val="003937D2"/>
    <w:rsid w:val="00393C30"/>
    <w:rsid w:val="003948E9"/>
    <w:rsid w:val="00395C25"/>
    <w:rsid w:val="0039630A"/>
    <w:rsid w:val="0039675C"/>
    <w:rsid w:val="0039740F"/>
    <w:rsid w:val="003976EE"/>
    <w:rsid w:val="003A0837"/>
    <w:rsid w:val="003A11AF"/>
    <w:rsid w:val="003A151A"/>
    <w:rsid w:val="003A474F"/>
    <w:rsid w:val="003A5A52"/>
    <w:rsid w:val="003A6D97"/>
    <w:rsid w:val="003A7221"/>
    <w:rsid w:val="003A7A33"/>
    <w:rsid w:val="003B130F"/>
    <w:rsid w:val="003B2FFA"/>
    <w:rsid w:val="003B323F"/>
    <w:rsid w:val="003B44D9"/>
    <w:rsid w:val="003B4554"/>
    <w:rsid w:val="003B5C44"/>
    <w:rsid w:val="003B5D39"/>
    <w:rsid w:val="003B5FF3"/>
    <w:rsid w:val="003B6B71"/>
    <w:rsid w:val="003B7335"/>
    <w:rsid w:val="003C03B6"/>
    <w:rsid w:val="003C0A66"/>
    <w:rsid w:val="003C13FC"/>
    <w:rsid w:val="003C347C"/>
    <w:rsid w:val="003C3B2B"/>
    <w:rsid w:val="003C3C6C"/>
    <w:rsid w:val="003C4492"/>
    <w:rsid w:val="003C61C7"/>
    <w:rsid w:val="003C7671"/>
    <w:rsid w:val="003C77F8"/>
    <w:rsid w:val="003D1E9F"/>
    <w:rsid w:val="003D1FC2"/>
    <w:rsid w:val="003D3152"/>
    <w:rsid w:val="003D34BF"/>
    <w:rsid w:val="003D3A01"/>
    <w:rsid w:val="003D4CF3"/>
    <w:rsid w:val="003D6FCB"/>
    <w:rsid w:val="003D6FFC"/>
    <w:rsid w:val="003E0BBF"/>
    <w:rsid w:val="003E1057"/>
    <w:rsid w:val="003E2D0A"/>
    <w:rsid w:val="003E2DE8"/>
    <w:rsid w:val="003E3688"/>
    <w:rsid w:val="003E4423"/>
    <w:rsid w:val="003E4525"/>
    <w:rsid w:val="003E4AA3"/>
    <w:rsid w:val="003E5887"/>
    <w:rsid w:val="003E6250"/>
    <w:rsid w:val="003E6CEA"/>
    <w:rsid w:val="003E79A8"/>
    <w:rsid w:val="003F0361"/>
    <w:rsid w:val="003F0532"/>
    <w:rsid w:val="003F065A"/>
    <w:rsid w:val="003F0D8A"/>
    <w:rsid w:val="003F0E52"/>
    <w:rsid w:val="003F1E66"/>
    <w:rsid w:val="003F21F6"/>
    <w:rsid w:val="003F57DA"/>
    <w:rsid w:val="003F6DAE"/>
    <w:rsid w:val="003F7E2B"/>
    <w:rsid w:val="0040146B"/>
    <w:rsid w:val="00401FCB"/>
    <w:rsid w:val="0040306D"/>
    <w:rsid w:val="00404286"/>
    <w:rsid w:val="00404CC7"/>
    <w:rsid w:val="00404DCC"/>
    <w:rsid w:val="00405D14"/>
    <w:rsid w:val="00406E10"/>
    <w:rsid w:val="00410420"/>
    <w:rsid w:val="004107F9"/>
    <w:rsid w:val="00410978"/>
    <w:rsid w:val="00410EFF"/>
    <w:rsid w:val="00411C00"/>
    <w:rsid w:val="00412D7B"/>
    <w:rsid w:val="00413022"/>
    <w:rsid w:val="00414304"/>
    <w:rsid w:val="00414377"/>
    <w:rsid w:val="00415F52"/>
    <w:rsid w:val="00415FB0"/>
    <w:rsid w:val="00415FCF"/>
    <w:rsid w:val="00416574"/>
    <w:rsid w:val="00416945"/>
    <w:rsid w:val="0041713F"/>
    <w:rsid w:val="00417150"/>
    <w:rsid w:val="00420850"/>
    <w:rsid w:val="0042113A"/>
    <w:rsid w:val="00422DA2"/>
    <w:rsid w:val="004238A9"/>
    <w:rsid w:val="0042448D"/>
    <w:rsid w:val="004263C9"/>
    <w:rsid w:val="00426FFC"/>
    <w:rsid w:val="004277A3"/>
    <w:rsid w:val="00427CC8"/>
    <w:rsid w:val="00430137"/>
    <w:rsid w:val="00430800"/>
    <w:rsid w:val="004334D1"/>
    <w:rsid w:val="00433A3A"/>
    <w:rsid w:val="004349F9"/>
    <w:rsid w:val="0043637B"/>
    <w:rsid w:val="00436775"/>
    <w:rsid w:val="004408A1"/>
    <w:rsid w:val="004419E3"/>
    <w:rsid w:val="0044311E"/>
    <w:rsid w:val="00443241"/>
    <w:rsid w:val="00443444"/>
    <w:rsid w:val="004436C3"/>
    <w:rsid w:val="00443FC8"/>
    <w:rsid w:val="00444721"/>
    <w:rsid w:val="00446F78"/>
    <w:rsid w:val="00450BB0"/>
    <w:rsid w:val="00451E45"/>
    <w:rsid w:val="004530CF"/>
    <w:rsid w:val="004531C0"/>
    <w:rsid w:val="00454172"/>
    <w:rsid w:val="0045644D"/>
    <w:rsid w:val="0045770B"/>
    <w:rsid w:val="0046266B"/>
    <w:rsid w:val="00462A49"/>
    <w:rsid w:val="00462CC6"/>
    <w:rsid w:val="004634E9"/>
    <w:rsid w:val="00463717"/>
    <w:rsid w:val="00463C23"/>
    <w:rsid w:val="00464389"/>
    <w:rsid w:val="00464FA1"/>
    <w:rsid w:val="004655C1"/>
    <w:rsid w:val="00467EFE"/>
    <w:rsid w:val="00471060"/>
    <w:rsid w:val="00471973"/>
    <w:rsid w:val="00472278"/>
    <w:rsid w:val="004722A4"/>
    <w:rsid w:val="00472D7F"/>
    <w:rsid w:val="00473069"/>
    <w:rsid w:val="00473A9D"/>
    <w:rsid w:val="00474EC3"/>
    <w:rsid w:val="00476D11"/>
    <w:rsid w:val="00480187"/>
    <w:rsid w:val="0048145F"/>
    <w:rsid w:val="00481B4D"/>
    <w:rsid w:val="00482789"/>
    <w:rsid w:val="0048291B"/>
    <w:rsid w:val="004832CE"/>
    <w:rsid w:val="00483771"/>
    <w:rsid w:val="0048408C"/>
    <w:rsid w:val="00484947"/>
    <w:rsid w:val="00485031"/>
    <w:rsid w:val="004851A2"/>
    <w:rsid w:val="00485792"/>
    <w:rsid w:val="00486806"/>
    <w:rsid w:val="004873E3"/>
    <w:rsid w:val="00487BF3"/>
    <w:rsid w:val="00487BFD"/>
    <w:rsid w:val="00490F87"/>
    <w:rsid w:val="0049165E"/>
    <w:rsid w:val="00491D78"/>
    <w:rsid w:val="00493706"/>
    <w:rsid w:val="00493E69"/>
    <w:rsid w:val="00494194"/>
    <w:rsid w:val="0049715F"/>
    <w:rsid w:val="00497832"/>
    <w:rsid w:val="004A03EE"/>
    <w:rsid w:val="004A20A1"/>
    <w:rsid w:val="004A2A99"/>
    <w:rsid w:val="004A2DCA"/>
    <w:rsid w:val="004A4BE9"/>
    <w:rsid w:val="004A5628"/>
    <w:rsid w:val="004A6E93"/>
    <w:rsid w:val="004A735D"/>
    <w:rsid w:val="004B0311"/>
    <w:rsid w:val="004B1474"/>
    <w:rsid w:val="004B21E6"/>
    <w:rsid w:val="004B230E"/>
    <w:rsid w:val="004B24FB"/>
    <w:rsid w:val="004B39AE"/>
    <w:rsid w:val="004B493A"/>
    <w:rsid w:val="004B4BEC"/>
    <w:rsid w:val="004B4F4C"/>
    <w:rsid w:val="004B5D28"/>
    <w:rsid w:val="004B7EC9"/>
    <w:rsid w:val="004C0973"/>
    <w:rsid w:val="004C0F8E"/>
    <w:rsid w:val="004C0FA7"/>
    <w:rsid w:val="004C20EE"/>
    <w:rsid w:val="004C2606"/>
    <w:rsid w:val="004C2C09"/>
    <w:rsid w:val="004C2E0A"/>
    <w:rsid w:val="004C3897"/>
    <w:rsid w:val="004C4FC6"/>
    <w:rsid w:val="004C5B64"/>
    <w:rsid w:val="004C5E10"/>
    <w:rsid w:val="004C6197"/>
    <w:rsid w:val="004C6E2F"/>
    <w:rsid w:val="004C6F2B"/>
    <w:rsid w:val="004D0148"/>
    <w:rsid w:val="004D1764"/>
    <w:rsid w:val="004D210E"/>
    <w:rsid w:val="004D2226"/>
    <w:rsid w:val="004D2BA1"/>
    <w:rsid w:val="004D4170"/>
    <w:rsid w:val="004D53C5"/>
    <w:rsid w:val="004D7862"/>
    <w:rsid w:val="004E0046"/>
    <w:rsid w:val="004E0CB5"/>
    <w:rsid w:val="004E1F27"/>
    <w:rsid w:val="004E2CCF"/>
    <w:rsid w:val="004E3CD5"/>
    <w:rsid w:val="004E3E5C"/>
    <w:rsid w:val="004E41F8"/>
    <w:rsid w:val="004E469B"/>
    <w:rsid w:val="004E4F2D"/>
    <w:rsid w:val="004E529C"/>
    <w:rsid w:val="004E6257"/>
    <w:rsid w:val="004F2E50"/>
    <w:rsid w:val="004F3060"/>
    <w:rsid w:val="004F4D23"/>
    <w:rsid w:val="004F5673"/>
    <w:rsid w:val="004F5D1B"/>
    <w:rsid w:val="004F6263"/>
    <w:rsid w:val="00500600"/>
    <w:rsid w:val="00500705"/>
    <w:rsid w:val="0050495A"/>
    <w:rsid w:val="00504B61"/>
    <w:rsid w:val="00506F1B"/>
    <w:rsid w:val="005070C6"/>
    <w:rsid w:val="005074DD"/>
    <w:rsid w:val="005107E2"/>
    <w:rsid w:val="005119C8"/>
    <w:rsid w:val="005128A3"/>
    <w:rsid w:val="00513BCD"/>
    <w:rsid w:val="00513FD5"/>
    <w:rsid w:val="00515D8F"/>
    <w:rsid w:val="00516CD1"/>
    <w:rsid w:val="00517743"/>
    <w:rsid w:val="00517AAB"/>
    <w:rsid w:val="0052060A"/>
    <w:rsid w:val="00521677"/>
    <w:rsid w:val="00521A30"/>
    <w:rsid w:val="00521BDC"/>
    <w:rsid w:val="00523347"/>
    <w:rsid w:val="00523356"/>
    <w:rsid w:val="005237FF"/>
    <w:rsid w:val="005244F8"/>
    <w:rsid w:val="0052492A"/>
    <w:rsid w:val="00524CCF"/>
    <w:rsid w:val="00530049"/>
    <w:rsid w:val="00530564"/>
    <w:rsid w:val="005310D0"/>
    <w:rsid w:val="00531215"/>
    <w:rsid w:val="00531899"/>
    <w:rsid w:val="00532777"/>
    <w:rsid w:val="00532DF4"/>
    <w:rsid w:val="005334E5"/>
    <w:rsid w:val="00533E13"/>
    <w:rsid w:val="00534054"/>
    <w:rsid w:val="00534913"/>
    <w:rsid w:val="00534B8E"/>
    <w:rsid w:val="00535F9B"/>
    <w:rsid w:val="00543697"/>
    <w:rsid w:val="005437B0"/>
    <w:rsid w:val="005442CA"/>
    <w:rsid w:val="005455AF"/>
    <w:rsid w:val="00546AA1"/>
    <w:rsid w:val="00546EEE"/>
    <w:rsid w:val="00550A85"/>
    <w:rsid w:val="005514DF"/>
    <w:rsid w:val="00551CF4"/>
    <w:rsid w:val="00551D7F"/>
    <w:rsid w:val="0055337D"/>
    <w:rsid w:val="00553C39"/>
    <w:rsid w:val="0055464C"/>
    <w:rsid w:val="00561A8E"/>
    <w:rsid w:val="0056323E"/>
    <w:rsid w:val="00563B62"/>
    <w:rsid w:val="00565A4D"/>
    <w:rsid w:val="00566D9B"/>
    <w:rsid w:val="00567151"/>
    <w:rsid w:val="00570287"/>
    <w:rsid w:val="0057072B"/>
    <w:rsid w:val="005709C8"/>
    <w:rsid w:val="00571341"/>
    <w:rsid w:val="005737CD"/>
    <w:rsid w:val="005739D6"/>
    <w:rsid w:val="00574598"/>
    <w:rsid w:val="00574EBE"/>
    <w:rsid w:val="00574FF5"/>
    <w:rsid w:val="00575A37"/>
    <w:rsid w:val="005761C4"/>
    <w:rsid w:val="005764A6"/>
    <w:rsid w:val="005771F0"/>
    <w:rsid w:val="00577ED7"/>
    <w:rsid w:val="00581826"/>
    <w:rsid w:val="00581A32"/>
    <w:rsid w:val="00581D0C"/>
    <w:rsid w:val="005826B4"/>
    <w:rsid w:val="005827D0"/>
    <w:rsid w:val="0058298D"/>
    <w:rsid w:val="00583B47"/>
    <w:rsid w:val="0058448B"/>
    <w:rsid w:val="00585A1C"/>
    <w:rsid w:val="00585BB6"/>
    <w:rsid w:val="00586882"/>
    <w:rsid w:val="00587248"/>
    <w:rsid w:val="00587AE7"/>
    <w:rsid w:val="005905B3"/>
    <w:rsid w:val="0059215A"/>
    <w:rsid w:val="00593962"/>
    <w:rsid w:val="00594A7D"/>
    <w:rsid w:val="00595B15"/>
    <w:rsid w:val="00595C47"/>
    <w:rsid w:val="005964A2"/>
    <w:rsid w:val="005A0193"/>
    <w:rsid w:val="005A05D9"/>
    <w:rsid w:val="005A691C"/>
    <w:rsid w:val="005A74ED"/>
    <w:rsid w:val="005B040A"/>
    <w:rsid w:val="005B087D"/>
    <w:rsid w:val="005B0B8E"/>
    <w:rsid w:val="005B3D8C"/>
    <w:rsid w:val="005B4B68"/>
    <w:rsid w:val="005B6249"/>
    <w:rsid w:val="005C077B"/>
    <w:rsid w:val="005C1CA1"/>
    <w:rsid w:val="005C1F68"/>
    <w:rsid w:val="005C2FE3"/>
    <w:rsid w:val="005C3FE5"/>
    <w:rsid w:val="005C61A6"/>
    <w:rsid w:val="005C61D4"/>
    <w:rsid w:val="005C63C9"/>
    <w:rsid w:val="005C6B39"/>
    <w:rsid w:val="005C6FDF"/>
    <w:rsid w:val="005D02A3"/>
    <w:rsid w:val="005D0380"/>
    <w:rsid w:val="005D041F"/>
    <w:rsid w:val="005D0C94"/>
    <w:rsid w:val="005D2E08"/>
    <w:rsid w:val="005D311C"/>
    <w:rsid w:val="005D3D2B"/>
    <w:rsid w:val="005D404B"/>
    <w:rsid w:val="005D45CC"/>
    <w:rsid w:val="005D471C"/>
    <w:rsid w:val="005D48BD"/>
    <w:rsid w:val="005D49A7"/>
    <w:rsid w:val="005D5420"/>
    <w:rsid w:val="005D5936"/>
    <w:rsid w:val="005D7137"/>
    <w:rsid w:val="005E10A3"/>
    <w:rsid w:val="005E19DA"/>
    <w:rsid w:val="005E24A9"/>
    <w:rsid w:val="005E25EC"/>
    <w:rsid w:val="005E3BBA"/>
    <w:rsid w:val="005E3BE7"/>
    <w:rsid w:val="005E4D82"/>
    <w:rsid w:val="005E52BD"/>
    <w:rsid w:val="005E5DED"/>
    <w:rsid w:val="005E61E3"/>
    <w:rsid w:val="005E6588"/>
    <w:rsid w:val="005F06D1"/>
    <w:rsid w:val="005F1918"/>
    <w:rsid w:val="005F2564"/>
    <w:rsid w:val="005F2E73"/>
    <w:rsid w:val="005F48D4"/>
    <w:rsid w:val="005F4940"/>
    <w:rsid w:val="005F4BCE"/>
    <w:rsid w:val="005F4E79"/>
    <w:rsid w:val="005F5533"/>
    <w:rsid w:val="005F566C"/>
    <w:rsid w:val="005F5F81"/>
    <w:rsid w:val="005F6409"/>
    <w:rsid w:val="005F7286"/>
    <w:rsid w:val="006000D7"/>
    <w:rsid w:val="00600CD6"/>
    <w:rsid w:val="00600D5A"/>
    <w:rsid w:val="00602082"/>
    <w:rsid w:val="00602AE5"/>
    <w:rsid w:val="00603EDB"/>
    <w:rsid w:val="00604955"/>
    <w:rsid w:val="00605B00"/>
    <w:rsid w:val="00606A04"/>
    <w:rsid w:val="00607DA0"/>
    <w:rsid w:val="00610110"/>
    <w:rsid w:val="0061087A"/>
    <w:rsid w:val="00610A89"/>
    <w:rsid w:val="0061208C"/>
    <w:rsid w:val="0061350E"/>
    <w:rsid w:val="00614149"/>
    <w:rsid w:val="006146C1"/>
    <w:rsid w:val="00616404"/>
    <w:rsid w:val="00616E33"/>
    <w:rsid w:val="006203F7"/>
    <w:rsid w:val="00622347"/>
    <w:rsid w:val="006224F1"/>
    <w:rsid w:val="00623452"/>
    <w:rsid w:val="00623956"/>
    <w:rsid w:val="00623E11"/>
    <w:rsid w:val="00624648"/>
    <w:rsid w:val="00624791"/>
    <w:rsid w:val="006252E1"/>
    <w:rsid w:val="00625452"/>
    <w:rsid w:val="00625493"/>
    <w:rsid w:val="0062556E"/>
    <w:rsid w:val="0062683A"/>
    <w:rsid w:val="006271AA"/>
    <w:rsid w:val="00630A6C"/>
    <w:rsid w:val="00630CB6"/>
    <w:rsid w:val="00630E76"/>
    <w:rsid w:val="00631076"/>
    <w:rsid w:val="00631FAA"/>
    <w:rsid w:val="00632751"/>
    <w:rsid w:val="00632FE0"/>
    <w:rsid w:val="006334EA"/>
    <w:rsid w:val="00633FEF"/>
    <w:rsid w:val="006344C9"/>
    <w:rsid w:val="00634FEA"/>
    <w:rsid w:val="00635C14"/>
    <w:rsid w:val="006361DC"/>
    <w:rsid w:val="0063747F"/>
    <w:rsid w:val="00637554"/>
    <w:rsid w:val="00644027"/>
    <w:rsid w:val="00645965"/>
    <w:rsid w:val="00645ECF"/>
    <w:rsid w:val="0064605E"/>
    <w:rsid w:val="00646121"/>
    <w:rsid w:val="00646A66"/>
    <w:rsid w:val="00646F38"/>
    <w:rsid w:val="00647DAB"/>
    <w:rsid w:val="0065056C"/>
    <w:rsid w:val="00651148"/>
    <w:rsid w:val="006520DF"/>
    <w:rsid w:val="006526A1"/>
    <w:rsid w:val="00653033"/>
    <w:rsid w:val="00653C74"/>
    <w:rsid w:val="00654314"/>
    <w:rsid w:val="006548D3"/>
    <w:rsid w:val="00656B4D"/>
    <w:rsid w:val="006574FD"/>
    <w:rsid w:val="00660AA4"/>
    <w:rsid w:val="00661FFC"/>
    <w:rsid w:val="0066255A"/>
    <w:rsid w:val="00662FD1"/>
    <w:rsid w:val="00663E20"/>
    <w:rsid w:val="006672CF"/>
    <w:rsid w:val="00667405"/>
    <w:rsid w:val="00667871"/>
    <w:rsid w:val="0067084C"/>
    <w:rsid w:val="006712B5"/>
    <w:rsid w:val="0067146F"/>
    <w:rsid w:val="00672209"/>
    <w:rsid w:val="00672497"/>
    <w:rsid w:val="00674252"/>
    <w:rsid w:val="006753CC"/>
    <w:rsid w:val="00676E50"/>
    <w:rsid w:val="00680651"/>
    <w:rsid w:val="0068087D"/>
    <w:rsid w:val="0068132B"/>
    <w:rsid w:val="00681931"/>
    <w:rsid w:val="006832E3"/>
    <w:rsid w:val="00683351"/>
    <w:rsid w:val="006841DB"/>
    <w:rsid w:val="006847F5"/>
    <w:rsid w:val="0068677F"/>
    <w:rsid w:val="00686CE7"/>
    <w:rsid w:val="00687A85"/>
    <w:rsid w:val="00691819"/>
    <w:rsid w:val="00691A20"/>
    <w:rsid w:val="00692285"/>
    <w:rsid w:val="006929B4"/>
    <w:rsid w:val="00694083"/>
    <w:rsid w:val="00695914"/>
    <w:rsid w:val="0069685F"/>
    <w:rsid w:val="00696C7D"/>
    <w:rsid w:val="00696F50"/>
    <w:rsid w:val="0069702C"/>
    <w:rsid w:val="00697541"/>
    <w:rsid w:val="00697624"/>
    <w:rsid w:val="006A0B08"/>
    <w:rsid w:val="006A1C99"/>
    <w:rsid w:val="006A263D"/>
    <w:rsid w:val="006A2952"/>
    <w:rsid w:val="006A2BF4"/>
    <w:rsid w:val="006A2E42"/>
    <w:rsid w:val="006A3D61"/>
    <w:rsid w:val="006A4D99"/>
    <w:rsid w:val="006A59E4"/>
    <w:rsid w:val="006A778C"/>
    <w:rsid w:val="006A7F89"/>
    <w:rsid w:val="006B0AE1"/>
    <w:rsid w:val="006B17FA"/>
    <w:rsid w:val="006B3AAE"/>
    <w:rsid w:val="006B403C"/>
    <w:rsid w:val="006B415F"/>
    <w:rsid w:val="006B7594"/>
    <w:rsid w:val="006C128C"/>
    <w:rsid w:val="006C2783"/>
    <w:rsid w:val="006C2C95"/>
    <w:rsid w:val="006C2E3F"/>
    <w:rsid w:val="006C3BA5"/>
    <w:rsid w:val="006C5893"/>
    <w:rsid w:val="006C5CB5"/>
    <w:rsid w:val="006C6626"/>
    <w:rsid w:val="006C72F4"/>
    <w:rsid w:val="006C7AC8"/>
    <w:rsid w:val="006D0A3D"/>
    <w:rsid w:val="006D18C4"/>
    <w:rsid w:val="006D2419"/>
    <w:rsid w:val="006D429E"/>
    <w:rsid w:val="006D645C"/>
    <w:rsid w:val="006E058F"/>
    <w:rsid w:val="006E06E5"/>
    <w:rsid w:val="006E0DB0"/>
    <w:rsid w:val="006E1DDD"/>
    <w:rsid w:val="006E3428"/>
    <w:rsid w:val="006E35FD"/>
    <w:rsid w:val="006E3CE3"/>
    <w:rsid w:val="006E3DB8"/>
    <w:rsid w:val="006E43C0"/>
    <w:rsid w:val="006E4745"/>
    <w:rsid w:val="006E4B82"/>
    <w:rsid w:val="006E4EBD"/>
    <w:rsid w:val="006E5587"/>
    <w:rsid w:val="006E684C"/>
    <w:rsid w:val="006F0BC6"/>
    <w:rsid w:val="006F1B26"/>
    <w:rsid w:val="006F1C5E"/>
    <w:rsid w:val="006F350C"/>
    <w:rsid w:val="006F3ABF"/>
    <w:rsid w:val="006F44C0"/>
    <w:rsid w:val="006F4A41"/>
    <w:rsid w:val="006F4AA5"/>
    <w:rsid w:val="006F4D13"/>
    <w:rsid w:val="006F555B"/>
    <w:rsid w:val="006F5CB1"/>
    <w:rsid w:val="006F712A"/>
    <w:rsid w:val="006F72CF"/>
    <w:rsid w:val="006F7C52"/>
    <w:rsid w:val="0070360D"/>
    <w:rsid w:val="007037B7"/>
    <w:rsid w:val="00703E01"/>
    <w:rsid w:val="00704D4C"/>
    <w:rsid w:val="00704FAC"/>
    <w:rsid w:val="0070524A"/>
    <w:rsid w:val="00705380"/>
    <w:rsid w:val="00705E18"/>
    <w:rsid w:val="00706CED"/>
    <w:rsid w:val="00707DA3"/>
    <w:rsid w:val="00710BAB"/>
    <w:rsid w:val="00714E63"/>
    <w:rsid w:val="007152D5"/>
    <w:rsid w:val="00715903"/>
    <w:rsid w:val="00715F9A"/>
    <w:rsid w:val="007162FC"/>
    <w:rsid w:val="00717160"/>
    <w:rsid w:val="0071767C"/>
    <w:rsid w:val="007207E5"/>
    <w:rsid w:val="00723454"/>
    <w:rsid w:val="00723694"/>
    <w:rsid w:val="0072420D"/>
    <w:rsid w:val="00724E58"/>
    <w:rsid w:val="0072700D"/>
    <w:rsid w:val="00727033"/>
    <w:rsid w:val="007313E6"/>
    <w:rsid w:val="007333C2"/>
    <w:rsid w:val="00734942"/>
    <w:rsid w:val="00734CC4"/>
    <w:rsid w:val="00741332"/>
    <w:rsid w:val="0074558A"/>
    <w:rsid w:val="00745EE4"/>
    <w:rsid w:val="0074656F"/>
    <w:rsid w:val="007466B3"/>
    <w:rsid w:val="0074686C"/>
    <w:rsid w:val="0074717F"/>
    <w:rsid w:val="007479DD"/>
    <w:rsid w:val="00750AC5"/>
    <w:rsid w:val="00751572"/>
    <w:rsid w:val="00753A0A"/>
    <w:rsid w:val="0075513C"/>
    <w:rsid w:val="00755E4A"/>
    <w:rsid w:val="00756205"/>
    <w:rsid w:val="0075658C"/>
    <w:rsid w:val="007569C6"/>
    <w:rsid w:val="00756A4B"/>
    <w:rsid w:val="0075701A"/>
    <w:rsid w:val="00761AEF"/>
    <w:rsid w:val="007635CB"/>
    <w:rsid w:val="007644E8"/>
    <w:rsid w:val="00764D77"/>
    <w:rsid w:val="0076576C"/>
    <w:rsid w:val="00765D7C"/>
    <w:rsid w:val="00765DD5"/>
    <w:rsid w:val="00766165"/>
    <w:rsid w:val="00766B26"/>
    <w:rsid w:val="00766D1D"/>
    <w:rsid w:val="00766E1A"/>
    <w:rsid w:val="00770F79"/>
    <w:rsid w:val="00771871"/>
    <w:rsid w:val="00771DDC"/>
    <w:rsid w:val="00772F8E"/>
    <w:rsid w:val="007735CB"/>
    <w:rsid w:val="00773895"/>
    <w:rsid w:val="00773B3B"/>
    <w:rsid w:val="00774A0A"/>
    <w:rsid w:val="007754C2"/>
    <w:rsid w:val="00775A2D"/>
    <w:rsid w:val="00775DFF"/>
    <w:rsid w:val="00775E52"/>
    <w:rsid w:val="00776120"/>
    <w:rsid w:val="00780C46"/>
    <w:rsid w:val="00781CF1"/>
    <w:rsid w:val="0078481B"/>
    <w:rsid w:val="00784CB9"/>
    <w:rsid w:val="00785472"/>
    <w:rsid w:val="00786101"/>
    <w:rsid w:val="00790AAB"/>
    <w:rsid w:val="0079141B"/>
    <w:rsid w:val="00791B51"/>
    <w:rsid w:val="0079423A"/>
    <w:rsid w:val="00795FB5"/>
    <w:rsid w:val="0079620D"/>
    <w:rsid w:val="007962C4"/>
    <w:rsid w:val="00796A9A"/>
    <w:rsid w:val="00796B55"/>
    <w:rsid w:val="007A3848"/>
    <w:rsid w:val="007A39D6"/>
    <w:rsid w:val="007A478E"/>
    <w:rsid w:val="007A5B22"/>
    <w:rsid w:val="007A6178"/>
    <w:rsid w:val="007B10A1"/>
    <w:rsid w:val="007B370F"/>
    <w:rsid w:val="007B4D1A"/>
    <w:rsid w:val="007B57E7"/>
    <w:rsid w:val="007C0A8E"/>
    <w:rsid w:val="007C1A6F"/>
    <w:rsid w:val="007C42AA"/>
    <w:rsid w:val="007C47FC"/>
    <w:rsid w:val="007C5140"/>
    <w:rsid w:val="007C5C23"/>
    <w:rsid w:val="007C72DD"/>
    <w:rsid w:val="007C7B30"/>
    <w:rsid w:val="007D11C9"/>
    <w:rsid w:val="007D1332"/>
    <w:rsid w:val="007D14E6"/>
    <w:rsid w:val="007D288C"/>
    <w:rsid w:val="007D321B"/>
    <w:rsid w:val="007D380D"/>
    <w:rsid w:val="007D392C"/>
    <w:rsid w:val="007D3EB3"/>
    <w:rsid w:val="007D3F42"/>
    <w:rsid w:val="007D400F"/>
    <w:rsid w:val="007D4953"/>
    <w:rsid w:val="007D4C97"/>
    <w:rsid w:val="007D58D3"/>
    <w:rsid w:val="007D7570"/>
    <w:rsid w:val="007E2072"/>
    <w:rsid w:val="007E2BE0"/>
    <w:rsid w:val="007E3698"/>
    <w:rsid w:val="007E437A"/>
    <w:rsid w:val="007E4AE5"/>
    <w:rsid w:val="007E5CE0"/>
    <w:rsid w:val="007E5F53"/>
    <w:rsid w:val="007E60D8"/>
    <w:rsid w:val="007E7001"/>
    <w:rsid w:val="007F1EA6"/>
    <w:rsid w:val="007F33A9"/>
    <w:rsid w:val="007F3462"/>
    <w:rsid w:val="007F3F05"/>
    <w:rsid w:val="007F4269"/>
    <w:rsid w:val="007F5097"/>
    <w:rsid w:val="007F5118"/>
    <w:rsid w:val="007F5F33"/>
    <w:rsid w:val="007F6830"/>
    <w:rsid w:val="00801B46"/>
    <w:rsid w:val="00801BAC"/>
    <w:rsid w:val="008025E4"/>
    <w:rsid w:val="008032CD"/>
    <w:rsid w:val="00804574"/>
    <w:rsid w:val="00804B86"/>
    <w:rsid w:val="00804CFF"/>
    <w:rsid w:val="0080662D"/>
    <w:rsid w:val="00806868"/>
    <w:rsid w:val="0080720A"/>
    <w:rsid w:val="0080759C"/>
    <w:rsid w:val="00807D24"/>
    <w:rsid w:val="00807F30"/>
    <w:rsid w:val="00810130"/>
    <w:rsid w:val="008105CC"/>
    <w:rsid w:val="0081147C"/>
    <w:rsid w:val="00811C99"/>
    <w:rsid w:val="00812BDF"/>
    <w:rsid w:val="00813074"/>
    <w:rsid w:val="00813C34"/>
    <w:rsid w:val="00814BA2"/>
    <w:rsid w:val="00815582"/>
    <w:rsid w:val="0081580B"/>
    <w:rsid w:val="0081604E"/>
    <w:rsid w:val="00816F93"/>
    <w:rsid w:val="00816FA8"/>
    <w:rsid w:val="008176A4"/>
    <w:rsid w:val="00820D12"/>
    <w:rsid w:val="00821586"/>
    <w:rsid w:val="00821713"/>
    <w:rsid w:val="00822C67"/>
    <w:rsid w:val="0082315C"/>
    <w:rsid w:val="0082396E"/>
    <w:rsid w:val="00823D0D"/>
    <w:rsid w:val="00826FBF"/>
    <w:rsid w:val="008274D0"/>
    <w:rsid w:val="008313E8"/>
    <w:rsid w:val="008313F6"/>
    <w:rsid w:val="008316D7"/>
    <w:rsid w:val="00831C04"/>
    <w:rsid w:val="00831CDA"/>
    <w:rsid w:val="00831FB9"/>
    <w:rsid w:val="00832BE5"/>
    <w:rsid w:val="00833A35"/>
    <w:rsid w:val="008345EA"/>
    <w:rsid w:val="008348EC"/>
    <w:rsid w:val="00834EF7"/>
    <w:rsid w:val="008355BA"/>
    <w:rsid w:val="0083740B"/>
    <w:rsid w:val="008406F3"/>
    <w:rsid w:val="0084177C"/>
    <w:rsid w:val="00841C6D"/>
    <w:rsid w:val="008462E8"/>
    <w:rsid w:val="00846836"/>
    <w:rsid w:val="00850C19"/>
    <w:rsid w:val="00851C9E"/>
    <w:rsid w:val="008520AD"/>
    <w:rsid w:val="00852732"/>
    <w:rsid w:val="0085468B"/>
    <w:rsid w:val="00855E04"/>
    <w:rsid w:val="0085646C"/>
    <w:rsid w:val="00861C99"/>
    <w:rsid w:val="00861F08"/>
    <w:rsid w:val="0086215D"/>
    <w:rsid w:val="00865752"/>
    <w:rsid w:val="00867D19"/>
    <w:rsid w:val="00871628"/>
    <w:rsid w:val="00872036"/>
    <w:rsid w:val="008725CE"/>
    <w:rsid w:val="008729DF"/>
    <w:rsid w:val="00873E49"/>
    <w:rsid w:val="00875947"/>
    <w:rsid w:val="00875FF9"/>
    <w:rsid w:val="008765E2"/>
    <w:rsid w:val="0088050C"/>
    <w:rsid w:val="008806D7"/>
    <w:rsid w:val="0088093B"/>
    <w:rsid w:val="00880AC2"/>
    <w:rsid w:val="00880DF3"/>
    <w:rsid w:val="0088111C"/>
    <w:rsid w:val="00881631"/>
    <w:rsid w:val="00883972"/>
    <w:rsid w:val="00883B96"/>
    <w:rsid w:val="00883FF2"/>
    <w:rsid w:val="008845EC"/>
    <w:rsid w:val="008861CF"/>
    <w:rsid w:val="008869F9"/>
    <w:rsid w:val="00886FDF"/>
    <w:rsid w:val="008878A7"/>
    <w:rsid w:val="00887C08"/>
    <w:rsid w:val="008902E0"/>
    <w:rsid w:val="00890B71"/>
    <w:rsid w:val="00892A31"/>
    <w:rsid w:val="00893144"/>
    <w:rsid w:val="0089330F"/>
    <w:rsid w:val="0089598A"/>
    <w:rsid w:val="008959CB"/>
    <w:rsid w:val="00896BEE"/>
    <w:rsid w:val="00896E1E"/>
    <w:rsid w:val="00897A3D"/>
    <w:rsid w:val="00897A4C"/>
    <w:rsid w:val="00897ED7"/>
    <w:rsid w:val="008A2EC0"/>
    <w:rsid w:val="008A3A56"/>
    <w:rsid w:val="008A444F"/>
    <w:rsid w:val="008A5116"/>
    <w:rsid w:val="008A554D"/>
    <w:rsid w:val="008A6919"/>
    <w:rsid w:val="008A73F9"/>
    <w:rsid w:val="008A7787"/>
    <w:rsid w:val="008B257F"/>
    <w:rsid w:val="008B316A"/>
    <w:rsid w:val="008B3C04"/>
    <w:rsid w:val="008B5067"/>
    <w:rsid w:val="008B52B3"/>
    <w:rsid w:val="008B5861"/>
    <w:rsid w:val="008B58CE"/>
    <w:rsid w:val="008B5ABF"/>
    <w:rsid w:val="008B5BBB"/>
    <w:rsid w:val="008B7472"/>
    <w:rsid w:val="008B7730"/>
    <w:rsid w:val="008C1B14"/>
    <w:rsid w:val="008C1FB4"/>
    <w:rsid w:val="008C29C7"/>
    <w:rsid w:val="008C2D0D"/>
    <w:rsid w:val="008C3944"/>
    <w:rsid w:val="008C5640"/>
    <w:rsid w:val="008C5C5C"/>
    <w:rsid w:val="008C60C5"/>
    <w:rsid w:val="008C67D7"/>
    <w:rsid w:val="008C7663"/>
    <w:rsid w:val="008C7E9D"/>
    <w:rsid w:val="008D192A"/>
    <w:rsid w:val="008D20F2"/>
    <w:rsid w:val="008D256C"/>
    <w:rsid w:val="008D28A3"/>
    <w:rsid w:val="008D3762"/>
    <w:rsid w:val="008D37CB"/>
    <w:rsid w:val="008D4A29"/>
    <w:rsid w:val="008D5304"/>
    <w:rsid w:val="008D56ED"/>
    <w:rsid w:val="008D6E73"/>
    <w:rsid w:val="008E051B"/>
    <w:rsid w:val="008E1C05"/>
    <w:rsid w:val="008E7DED"/>
    <w:rsid w:val="008F00BA"/>
    <w:rsid w:val="008F027B"/>
    <w:rsid w:val="008F0385"/>
    <w:rsid w:val="008F0892"/>
    <w:rsid w:val="008F1D67"/>
    <w:rsid w:val="008F311B"/>
    <w:rsid w:val="008F3AAB"/>
    <w:rsid w:val="008F59C2"/>
    <w:rsid w:val="008F5BF6"/>
    <w:rsid w:val="008F60B6"/>
    <w:rsid w:val="008F6CF3"/>
    <w:rsid w:val="008F6F43"/>
    <w:rsid w:val="00900531"/>
    <w:rsid w:val="00900D57"/>
    <w:rsid w:val="00900D81"/>
    <w:rsid w:val="009027BD"/>
    <w:rsid w:val="009028E3"/>
    <w:rsid w:val="009029F6"/>
    <w:rsid w:val="00902CF6"/>
    <w:rsid w:val="009051E6"/>
    <w:rsid w:val="00905397"/>
    <w:rsid w:val="00905AD8"/>
    <w:rsid w:val="0090671F"/>
    <w:rsid w:val="00910B73"/>
    <w:rsid w:val="00910BD8"/>
    <w:rsid w:val="00911697"/>
    <w:rsid w:val="00911F71"/>
    <w:rsid w:val="009133D6"/>
    <w:rsid w:val="0091340C"/>
    <w:rsid w:val="009135F9"/>
    <w:rsid w:val="00913890"/>
    <w:rsid w:val="00915B7C"/>
    <w:rsid w:val="00916274"/>
    <w:rsid w:val="00916D83"/>
    <w:rsid w:val="00916DB4"/>
    <w:rsid w:val="00917EA9"/>
    <w:rsid w:val="0092052E"/>
    <w:rsid w:val="00920F42"/>
    <w:rsid w:val="0092795D"/>
    <w:rsid w:val="009301A1"/>
    <w:rsid w:val="00930C3F"/>
    <w:rsid w:val="009315A2"/>
    <w:rsid w:val="00931AA9"/>
    <w:rsid w:val="009325C5"/>
    <w:rsid w:val="0093548E"/>
    <w:rsid w:val="00935E91"/>
    <w:rsid w:val="00936461"/>
    <w:rsid w:val="009377DB"/>
    <w:rsid w:val="009402D1"/>
    <w:rsid w:val="00941666"/>
    <w:rsid w:val="00943214"/>
    <w:rsid w:val="009436B0"/>
    <w:rsid w:val="00944602"/>
    <w:rsid w:val="009449F1"/>
    <w:rsid w:val="00945BD3"/>
    <w:rsid w:val="00945CE8"/>
    <w:rsid w:val="0094758D"/>
    <w:rsid w:val="0095016A"/>
    <w:rsid w:val="00950207"/>
    <w:rsid w:val="009506CD"/>
    <w:rsid w:val="009527C9"/>
    <w:rsid w:val="009567CE"/>
    <w:rsid w:val="00957459"/>
    <w:rsid w:val="00960AA2"/>
    <w:rsid w:val="00961AB3"/>
    <w:rsid w:val="009630CD"/>
    <w:rsid w:val="00964A2E"/>
    <w:rsid w:val="009651F2"/>
    <w:rsid w:val="0096522E"/>
    <w:rsid w:val="0096526C"/>
    <w:rsid w:val="00965C22"/>
    <w:rsid w:val="00965E80"/>
    <w:rsid w:val="009665D9"/>
    <w:rsid w:val="00967B3A"/>
    <w:rsid w:val="00970247"/>
    <w:rsid w:val="00971AA2"/>
    <w:rsid w:val="00971D48"/>
    <w:rsid w:val="00972138"/>
    <w:rsid w:val="009744DE"/>
    <w:rsid w:val="00974624"/>
    <w:rsid w:val="00974DC5"/>
    <w:rsid w:val="009765F0"/>
    <w:rsid w:val="00977C01"/>
    <w:rsid w:val="00980AFC"/>
    <w:rsid w:val="00981463"/>
    <w:rsid w:val="00981D42"/>
    <w:rsid w:val="00981F15"/>
    <w:rsid w:val="009836C1"/>
    <w:rsid w:val="00985454"/>
    <w:rsid w:val="00986392"/>
    <w:rsid w:val="0098657B"/>
    <w:rsid w:val="00987782"/>
    <w:rsid w:val="00987F70"/>
    <w:rsid w:val="0099171A"/>
    <w:rsid w:val="00993436"/>
    <w:rsid w:val="009938D7"/>
    <w:rsid w:val="00993D08"/>
    <w:rsid w:val="00994B2E"/>
    <w:rsid w:val="00994E6A"/>
    <w:rsid w:val="00997ACE"/>
    <w:rsid w:val="00997CA9"/>
    <w:rsid w:val="009A0508"/>
    <w:rsid w:val="009A16A5"/>
    <w:rsid w:val="009A236A"/>
    <w:rsid w:val="009A2BAD"/>
    <w:rsid w:val="009A768E"/>
    <w:rsid w:val="009B00BB"/>
    <w:rsid w:val="009B0685"/>
    <w:rsid w:val="009B2B95"/>
    <w:rsid w:val="009B39C8"/>
    <w:rsid w:val="009B3A3B"/>
    <w:rsid w:val="009B4829"/>
    <w:rsid w:val="009B4C9D"/>
    <w:rsid w:val="009B650D"/>
    <w:rsid w:val="009B71E6"/>
    <w:rsid w:val="009C011E"/>
    <w:rsid w:val="009C051C"/>
    <w:rsid w:val="009C1228"/>
    <w:rsid w:val="009C20A0"/>
    <w:rsid w:val="009C309A"/>
    <w:rsid w:val="009C4022"/>
    <w:rsid w:val="009C4DD1"/>
    <w:rsid w:val="009C4E06"/>
    <w:rsid w:val="009C5A65"/>
    <w:rsid w:val="009C615C"/>
    <w:rsid w:val="009C631D"/>
    <w:rsid w:val="009C7C82"/>
    <w:rsid w:val="009D0364"/>
    <w:rsid w:val="009D0C2D"/>
    <w:rsid w:val="009D2EE1"/>
    <w:rsid w:val="009D351D"/>
    <w:rsid w:val="009D59D1"/>
    <w:rsid w:val="009D5A27"/>
    <w:rsid w:val="009D5D4B"/>
    <w:rsid w:val="009D6EAE"/>
    <w:rsid w:val="009D734D"/>
    <w:rsid w:val="009D7440"/>
    <w:rsid w:val="009E0034"/>
    <w:rsid w:val="009E0343"/>
    <w:rsid w:val="009E0849"/>
    <w:rsid w:val="009E09FA"/>
    <w:rsid w:val="009E0A6A"/>
    <w:rsid w:val="009E0DEF"/>
    <w:rsid w:val="009E10BA"/>
    <w:rsid w:val="009E1B81"/>
    <w:rsid w:val="009E1C29"/>
    <w:rsid w:val="009E264D"/>
    <w:rsid w:val="009E3145"/>
    <w:rsid w:val="009E52AA"/>
    <w:rsid w:val="009E56B9"/>
    <w:rsid w:val="009E5A9A"/>
    <w:rsid w:val="009E5C23"/>
    <w:rsid w:val="009E6109"/>
    <w:rsid w:val="009E789F"/>
    <w:rsid w:val="009F140D"/>
    <w:rsid w:val="009F2B47"/>
    <w:rsid w:val="009F2EC5"/>
    <w:rsid w:val="009F2F4B"/>
    <w:rsid w:val="009F3C91"/>
    <w:rsid w:val="009F408A"/>
    <w:rsid w:val="009F42D4"/>
    <w:rsid w:val="009F46FD"/>
    <w:rsid w:val="009F4A2A"/>
    <w:rsid w:val="009F4FFE"/>
    <w:rsid w:val="009F6A59"/>
    <w:rsid w:val="00A00C38"/>
    <w:rsid w:val="00A01B86"/>
    <w:rsid w:val="00A01F4F"/>
    <w:rsid w:val="00A03567"/>
    <w:rsid w:val="00A035AF"/>
    <w:rsid w:val="00A051C2"/>
    <w:rsid w:val="00A05A40"/>
    <w:rsid w:val="00A05C95"/>
    <w:rsid w:val="00A1047F"/>
    <w:rsid w:val="00A108CC"/>
    <w:rsid w:val="00A10DEE"/>
    <w:rsid w:val="00A1136D"/>
    <w:rsid w:val="00A11C61"/>
    <w:rsid w:val="00A1285C"/>
    <w:rsid w:val="00A15EE4"/>
    <w:rsid w:val="00A17A4B"/>
    <w:rsid w:val="00A21992"/>
    <w:rsid w:val="00A2300F"/>
    <w:rsid w:val="00A23138"/>
    <w:rsid w:val="00A233A9"/>
    <w:rsid w:val="00A24099"/>
    <w:rsid w:val="00A24F91"/>
    <w:rsid w:val="00A25BC7"/>
    <w:rsid w:val="00A2656D"/>
    <w:rsid w:val="00A26BED"/>
    <w:rsid w:val="00A308C5"/>
    <w:rsid w:val="00A3121E"/>
    <w:rsid w:val="00A317EF"/>
    <w:rsid w:val="00A33768"/>
    <w:rsid w:val="00A33E89"/>
    <w:rsid w:val="00A351EF"/>
    <w:rsid w:val="00A35AC4"/>
    <w:rsid w:val="00A36605"/>
    <w:rsid w:val="00A37693"/>
    <w:rsid w:val="00A37A6D"/>
    <w:rsid w:val="00A408E7"/>
    <w:rsid w:val="00A40DEB"/>
    <w:rsid w:val="00A43CF4"/>
    <w:rsid w:val="00A44992"/>
    <w:rsid w:val="00A453FE"/>
    <w:rsid w:val="00A45676"/>
    <w:rsid w:val="00A45B4E"/>
    <w:rsid w:val="00A46191"/>
    <w:rsid w:val="00A4653F"/>
    <w:rsid w:val="00A46545"/>
    <w:rsid w:val="00A473BC"/>
    <w:rsid w:val="00A47530"/>
    <w:rsid w:val="00A47BEF"/>
    <w:rsid w:val="00A515A9"/>
    <w:rsid w:val="00A51C99"/>
    <w:rsid w:val="00A52187"/>
    <w:rsid w:val="00A553AF"/>
    <w:rsid w:val="00A55EEF"/>
    <w:rsid w:val="00A56739"/>
    <w:rsid w:val="00A57E8D"/>
    <w:rsid w:val="00A57EB8"/>
    <w:rsid w:val="00A60D5F"/>
    <w:rsid w:val="00A6104B"/>
    <w:rsid w:val="00A619ED"/>
    <w:rsid w:val="00A6228F"/>
    <w:rsid w:val="00A63468"/>
    <w:rsid w:val="00A64FC5"/>
    <w:rsid w:val="00A674C6"/>
    <w:rsid w:val="00A674E6"/>
    <w:rsid w:val="00A7003E"/>
    <w:rsid w:val="00A701DB"/>
    <w:rsid w:val="00A71A32"/>
    <w:rsid w:val="00A73522"/>
    <w:rsid w:val="00A759B7"/>
    <w:rsid w:val="00A76134"/>
    <w:rsid w:val="00A76F34"/>
    <w:rsid w:val="00A816F2"/>
    <w:rsid w:val="00A819FA"/>
    <w:rsid w:val="00A81F77"/>
    <w:rsid w:val="00A828E7"/>
    <w:rsid w:val="00A82E95"/>
    <w:rsid w:val="00A82FEE"/>
    <w:rsid w:val="00A8504D"/>
    <w:rsid w:val="00A9078D"/>
    <w:rsid w:val="00A9093E"/>
    <w:rsid w:val="00A937B0"/>
    <w:rsid w:val="00A95444"/>
    <w:rsid w:val="00A95DD4"/>
    <w:rsid w:val="00A970A4"/>
    <w:rsid w:val="00A97D1C"/>
    <w:rsid w:val="00AA1094"/>
    <w:rsid w:val="00AA20DE"/>
    <w:rsid w:val="00AA3C5C"/>
    <w:rsid w:val="00AA59BA"/>
    <w:rsid w:val="00AA5BC8"/>
    <w:rsid w:val="00AA636D"/>
    <w:rsid w:val="00AA6BA8"/>
    <w:rsid w:val="00AA73E1"/>
    <w:rsid w:val="00AA7796"/>
    <w:rsid w:val="00AA79B4"/>
    <w:rsid w:val="00AB0EB1"/>
    <w:rsid w:val="00AB3C94"/>
    <w:rsid w:val="00AB3E60"/>
    <w:rsid w:val="00AB4847"/>
    <w:rsid w:val="00AB51A0"/>
    <w:rsid w:val="00AB5576"/>
    <w:rsid w:val="00AB5905"/>
    <w:rsid w:val="00AB6802"/>
    <w:rsid w:val="00AB6D1C"/>
    <w:rsid w:val="00AB77E5"/>
    <w:rsid w:val="00AB7BA9"/>
    <w:rsid w:val="00AC02FA"/>
    <w:rsid w:val="00AC0D1F"/>
    <w:rsid w:val="00AC1347"/>
    <w:rsid w:val="00AC1806"/>
    <w:rsid w:val="00AC3E99"/>
    <w:rsid w:val="00AC42F9"/>
    <w:rsid w:val="00AC4305"/>
    <w:rsid w:val="00AC60B2"/>
    <w:rsid w:val="00AC6399"/>
    <w:rsid w:val="00AD052F"/>
    <w:rsid w:val="00AD1988"/>
    <w:rsid w:val="00AD28B4"/>
    <w:rsid w:val="00AD2CBD"/>
    <w:rsid w:val="00AD3238"/>
    <w:rsid w:val="00AD33FE"/>
    <w:rsid w:val="00AD3B02"/>
    <w:rsid w:val="00AD3FE6"/>
    <w:rsid w:val="00AD4471"/>
    <w:rsid w:val="00AD6202"/>
    <w:rsid w:val="00AD63B3"/>
    <w:rsid w:val="00AD6C84"/>
    <w:rsid w:val="00AE0884"/>
    <w:rsid w:val="00AE280C"/>
    <w:rsid w:val="00AE31DF"/>
    <w:rsid w:val="00AE5D3F"/>
    <w:rsid w:val="00AF0FFA"/>
    <w:rsid w:val="00AF1E1C"/>
    <w:rsid w:val="00AF1F45"/>
    <w:rsid w:val="00AF3459"/>
    <w:rsid w:val="00AF3596"/>
    <w:rsid w:val="00B00120"/>
    <w:rsid w:val="00B0159A"/>
    <w:rsid w:val="00B0297B"/>
    <w:rsid w:val="00B03966"/>
    <w:rsid w:val="00B059A0"/>
    <w:rsid w:val="00B0646A"/>
    <w:rsid w:val="00B072C4"/>
    <w:rsid w:val="00B103A4"/>
    <w:rsid w:val="00B104CE"/>
    <w:rsid w:val="00B10C79"/>
    <w:rsid w:val="00B11676"/>
    <w:rsid w:val="00B11A0B"/>
    <w:rsid w:val="00B12834"/>
    <w:rsid w:val="00B129EC"/>
    <w:rsid w:val="00B1397F"/>
    <w:rsid w:val="00B13F21"/>
    <w:rsid w:val="00B15892"/>
    <w:rsid w:val="00B167D2"/>
    <w:rsid w:val="00B16EFA"/>
    <w:rsid w:val="00B1777F"/>
    <w:rsid w:val="00B221C8"/>
    <w:rsid w:val="00B22CE2"/>
    <w:rsid w:val="00B234EC"/>
    <w:rsid w:val="00B2372A"/>
    <w:rsid w:val="00B2497C"/>
    <w:rsid w:val="00B24BCB"/>
    <w:rsid w:val="00B259A8"/>
    <w:rsid w:val="00B261D4"/>
    <w:rsid w:val="00B26D77"/>
    <w:rsid w:val="00B27CC8"/>
    <w:rsid w:val="00B30FBD"/>
    <w:rsid w:val="00B313EE"/>
    <w:rsid w:val="00B31EAC"/>
    <w:rsid w:val="00B331ED"/>
    <w:rsid w:val="00B33F5C"/>
    <w:rsid w:val="00B349EF"/>
    <w:rsid w:val="00B34DB5"/>
    <w:rsid w:val="00B36150"/>
    <w:rsid w:val="00B374C2"/>
    <w:rsid w:val="00B37B7D"/>
    <w:rsid w:val="00B37D86"/>
    <w:rsid w:val="00B37F78"/>
    <w:rsid w:val="00B4216F"/>
    <w:rsid w:val="00B431BA"/>
    <w:rsid w:val="00B44CFC"/>
    <w:rsid w:val="00B44FF0"/>
    <w:rsid w:val="00B458C5"/>
    <w:rsid w:val="00B45F0B"/>
    <w:rsid w:val="00B46FBE"/>
    <w:rsid w:val="00B4757B"/>
    <w:rsid w:val="00B4777A"/>
    <w:rsid w:val="00B50E5C"/>
    <w:rsid w:val="00B528CA"/>
    <w:rsid w:val="00B53C2B"/>
    <w:rsid w:val="00B53D8E"/>
    <w:rsid w:val="00B55300"/>
    <w:rsid w:val="00B56C00"/>
    <w:rsid w:val="00B56D14"/>
    <w:rsid w:val="00B57517"/>
    <w:rsid w:val="00B60AEC"/>
    <w:rsid w:val="00B60C86"/>
    <w:rsid w:val="00B610F7"/>
    <w:rsid w:val="00B619FA"/>
    <w:rsid w:val="00B61D21"/>
    <w:rsid w:val="00B624E0"/>
    <w:rsid w:val="00B6359A"/>
    <w:rsid w:val="00B6398B"/>
    <w:rsid w:val="00B65804"/>
    <w:rsid w:val="00B6657D"/>
    <w:rsid w:val="00B70484"/>
    <w:rsid w:val="00B72147"/>
    <w:rsid w:val="00B72CEA"/>
    <w:rsid w:val="00B759BD"/>
    <w:rsid w:val="00B759F2"/>
    <w:rsid w:val="00B8057F"/>
    <w:rsid w:val="00B80D9C"/>
    <w:rsid w:val="00B81097"/>
    <w:rsid w:val="00B84201"/>
    <w:rsid w:val="00B85208"/>
    <w:rsid w:val="00B85557"/>
    <w:rsid w:val="00B857E7"/>
    <w:rsid w:val="00B863D5"/>
    <w:rsid w:val="00B87777"/>
    <w:rsid w:val="00B901C6"/>
    <w:rsid w:val="00B90E78"/>
    <w:rsid w:val="00B91E04"/>
    <w:rsid w:val="00B92572"/>
    <w:rsid w:val="00B93BBC"/>
    <w:rsid w:val="00B94227"/>
    <w:rsid w:val="00B94CA9"/>
    <w:rsid w:val="00B97DB8"/>
    <w:rsid w:val="00BA07B4"/>
    <w:rsid w:val="00BA1011"/>
    <w:rsid w:val="00BA130E"/>
    <w:rsid w:val="00BA17C7"/>
    <w:rsid w:val="00BA19BE"/>
    <w:rsid w:val="00BA204D"/>
    <w:rsid w:val="00BA3A35"/>
    <w:rsid w:val="00BA4E2E"/>
    <w:rsid w:val="00BA56DE"/>
    <w:rsid w:val="00BA69AF"/>
    <w:rsid w:val="00BA733E"/>
    <w:rsid w:val="00BA7A43"/>
    <w:rsid w:val="00BB0973"/>
    <w:rsid w:val="00BB09FA"/>
    <w:rsid w:val="00BB0CEA"/>
    <w:rsid w:val="00BB0DDE"/>
    <w:rsid w:val="00BB0E85"/>
    <w:rsid w:val="00BB2194"/>
    <w:rsid w:val="00BB29EF"/>
    <w:rsid w:val="00BB2FD7"/>
    <w:rsid w:val="00BB4BD8"/>
    <w:rsid w:val="00BB5EF4"/>
    <w:rsid w:val="00BB63A5"/>
    <w:rsid w:val="00BB63C2"/>
    <w:rsid w:val="00BC18AA"/>
    <w:rsid w:val="00BC1CF2"/>
    <w:rsid w:val="00BC387D"/>
    <w:rsid w:val="00BC4752"/>
    <w:rsid w:val="00BC5174"/>
    <w:rsid w:val="00BC6DD1"/>
    <w:rsid w:val="00BC6E30"/>
    <w:rsid w:val="00BC7DFB"/>
    <w:rsid w:val="00BD06F9"/>
    <w:rsid w:val="00BD0B41"/>
    <w:rsid w:val="00BD19BA"/>
    <w:rsid w:val="00BD44F1"/>
    <w:rsid w:val="00BD4EDB"/>
    <w:rsid w:val="00BD5B58"/>
    <w:rsid w:val="00BD63D2"/>
    <w:rsid w:val="00BE15DD"/>
    <w:rsid w:val="00BE196F"/>
    <w:rsid w:val="00BE1A8A"/>
    <w:rsid w:val="00BE24A3"/>
    <w:rsid w:val="00BE2AB0"/>
    <w:rsid w:val="00BE2C72"/>
    <w:rsid w:val="00BE3A09"/>
    <w:rsid w:val="00BE3AED"/>
    <w:rsid w:val="00BE441B"/>
    <w:rsid w:val="00BF1ABA"/>
    <w:rsid w:val="00BF2CC4"/>
    <w:rsid w:val="00BF3564"/>
    <w:rsid w:val="00BF51CF"/>
    <w:rsid w:val="00BF55AA"/>
    <w:rsid w:val="00C01CAA"/>
    <w:rsid w:val="00C02BA8"/>
    <w:rsid w:val="00C03A2C"/>
    <w:rsid w:val="00C04264"/>
    <w:rsid w:val="00C0436C"/>
    <w:rsid w:val="00C04672"/>
    <w:rsid w:val="00C04E91"/>
    <w:rsid w:val="00C0743C"/>
    <w:rsid w:val="00C07D2C"/>
    <w:rsid w:val="00C07DB5"/>
    <w:rsid w:val="00C104D2"/>
    <w:rsid w:val="00C1131C"/>
    <w:rsid w:val="00C1198D"/>
    <w:rsid w:val="00C13100"/>
    <w:rsid w:val="00C145C4"/>
    <w:rsid w:val="00C14B17"/>
    <w:rsid w:val="00C158F7"/>
    <w:rsid w:val="00C15B2E"/>
    <w:rsid w:val="00C16051"/>
    <w:rsid w:val="00C164F1"/>
    <w:rsid w:val="00C16BB5"/>
    <w:rsid w:val="00C20FC8"/>
    <w:rsid w:val="00C22352"/>
    <w:rsid w:val="00C25E6F"/>
    <w:rsid w:val="00C26234"/>
    <w:rsid w:val="00C262F8"/>
    <w:rsid w:val="00C275B8"/>
    <w:rsid w:val="00C30021"/>
    <w:rsid w:val="00C34116"/>
    <w:rsid w:val="00C348E8"/>
    <w:rsid w:val="00C35AF2"/>
    <w:rsid w:val="00C36764"/>
    <w:rsid w:val="00C37BD6"/>
    <w:rsid w:val="00C405C3"/>
    <w:rsid w:val="00C409B1"/>
    <w:rsid w:val="00C40C81"/>
    <w:rsid w:val="00C40E1C"/>
    <w:rsid w:val="00C43057"/>
    <w:rsid w:val="00C43851"/>
    <w:rsid w:val="00C445F7"/>
    <w:rsid w:val="00C44873"/>
    <w:rsid w:val="00C45930"/>
    <w:rsid w:val="00C45ECC"/>
    <w:rsid w:val="00C468C2"/>
    <w:rsid w:val="00C47180"/>
    <w:rsid w:val="00C47E3B"/>
    <w:rsid w:val="00C5031B"/>
    <w:rsid w:val="00C524C8"/>
    <w:rsid w:val="00C532C2"/>
    <w:rsid w:val="00C53CDD"/>
    <w:rsid w:val="00C546DE"/>
    <w:rsid w:val="00C54701"/>
    <w:rsid w:val="00C55F4D"/>
    <w:rsid w:val="00C5643E"/>
    <w:rsid w:val="00C56DCC"/>
    <w:rsid w:val="00C60758"/>
    <w:rsid w:val="00C611F6"/>
    <w:rsid w:val="00C62F5F"/>
    <w:rsid w:val="00C635A0"/>
    <w:rsid w:val="00C63E2B"/>
    <w:rsid w:val="00C640A8"/>
    <w:rsid w:val="00C64E32"/>
    <w:rsid w:val="00C65693"/>
    <w:rsid w:val="00C65CB6"/>
    <w:rsid w:val="00C70262"/>
    <w:rsid w:val="00C707F6"/>
    <w:rsid w:val="00C71E02"/>
    <w:rsid w:val="00C73640"/>
    <w:rsid w:val="00C73941"/>
    <w:rsid w:val="00C73CF1"/>
    <w:rsid w:val="00C74153"/>
    <w:rsid w:val="00C7433C"/>
    <w:rsid w:val="00C749AC"/>
    <w:rsid w:val="00C75F6C"/>
    <w:rsid w:val="00C77F49"/>
    <w:rsid w:val="00C81516"/>
    <w:rsid w:val="00C819CA"/>
    <w:rsid w:val="00C823BF"/>
    <w:rsid w:val="00C83022"/>
    <w:rsid w:val="00C83747"/>
    <w:rsid w:val="00C85ACC"/>
    <w:rsid w:val="00C87042"/>
    <w:rsid w:val="00C87B97"/>
    <w:rsid w:val="00C87C26"/>
    <w:rsid w:val="00C90069"/>
    <w:rsid w:val="00C90500"/>
    <w:rsid w:val="00C9080A"/>
    <w:rsid w:val="00C926A8"/>
    <w:rsid w:val="00C9295D"/>
    <w:rsid w:val="00C935B8"/>
    <w:rsid w:val="00C93EE2"/>
    <w:rsid w:val="00C93FE2"/>
    <w:rsid w:val="00CA288D"/>
    <w:rsid w:val="00CA3371"/>
    <w:rsid w:val="00CA372F"/>
    <w:rsid w:val="00CA487E"/>
    <w:rsid w:val="00CA4EF0"/>
    <w:rsid w:val="00CA5776"/>
    <w:rsid w:val="00CA6F26"/>
    <w:rsid w:val="00CB18A6"/>
    <w:rsid w:val="00CB1A09"/>
    <w:rsid w:val="00CB1DDA"/>
    <w:rsid w:val="00CB3A3B"/>
    <w:rsid w:val="00CB4797"/>
    <w:rsid w:val="00CB4ECC"/>
    <w:rsid w:val="00CB5C75"/>
    <w:rsid w:val="00CC0CC4"/>
    <w:rsid w:val="00CC11E7"/>
    <w:rsid w:val="00CC11FB"/>
    <w:rsid w:val="00CC1B69"/>
    <w:rsid w:val="00CC33DC"/>
    <w:rsid w:val="00CC4C5E"/>
    <w:rsid w:val="00CC519F"/>
    <w:rsid w:val="00CC586A"/>
    <w:rsid w:val="00CC5E2F"/>
    <w:rsid w:val="00CC65EF"/>
    <w:rsid w:val="00CC6BFF"/>
    <w:rsid w:val="00CC6C1F"/>
    <w:rsid w:val="00CD06EF"/>
    <w:rsid w:val="00CD22AE"/>
    <w:rsid w:val="00CD3694"/>
    <w:rsid w:val="00CD460A"/>
    <w:rsid w:val="00CD6552"/>
    <w:rsid w:val="00CD68E7"/>
    <w:rsid w:val="00CD7AFE"/>
    <w:rsid w:val="00CE2858"/>
    <w:rsid w:val="00CE3F4C"/>
    <w:rsid w:val="00CE42EC"/>
    <w:rsid w:val="00CE44D6"/>
    <w:rsid w:val="00CE68F7"/>
    <w:rsid w:val="00CF1FBF"/>
    <w:rsid w:val="00CF2E51"/>
    <w:rsid w:val="00CF3683"/>
    <w:rsid w:val="00CF3B35"/>
    <w:rsid w:val="00CF4343"/>
    <w:rsid w:val="00CF5DD0"/>
    <w:rsid w:val="00CF5EC0"/>
    <w:rsid w:val="00CF65E6"/>
    <w:rsid w:val="00CF673F"/>
    <w:rsid w:val="00CF6ED7"/>
    <w:rsid w:val="00CF734D"/>
    <w:rsid w:val="00CF75BE"/>
    <w:rsid w:val="00D01C5E"/>
    <w:rsid w:val="00D01DB8"/>
    <w:rsid w:val="00D026DA"/>
    <w:rsid w:val="00D03B6D"/>
    <w:rsid w:val="00D06461"/>
    <w:rsid w:val="00D06DC8"/>
    <w:rsid w:val="00D0720E"/>
    <w:rsid w:val="00D072DA"/>
    <w:rsid w:val="00D07699"/>
    <w:rsid w:val="00D07C73"/>
    <w:rsid w:val="00D10C24"/>
    <w:rsid w:val="00D10C2C"/>
    <w:rsid w:val="00D10C87"/>
    <w:rsid w:val="00D10FBE"/>
    <w:rsid w:val="00D113B4"/>
    <w:rsid w:val="00D11525"/>
    <w:rsid w:val="00D13D36"/>
    <w:rsid w:val="00D13F30"/>
    <w:rsid w:val="00D15883"/>
    <w:rsid w:val="00D1626A"/>
    <w:rsid w:val="00D16EA1"/>
    <w:rsid w:val="00D17698"/>
    <w:rsid w:val="00D1788B"/>
    <w:rsid w:val="00D17C95"/>
    <w:rsid w:val="00D2015E"/>
    <w:rsid w:val="00D20867"/>
    <w:rsid w:val="00D21D67"/>
    <w:rsid w:val="00D22940"/>
    <w:rsid w:val="00D24400"/>
    <w:rsid w:val="00D26FBC"/>
    <w:rsid w:val="00D27406"/>
    <w:rsid w:val="00D27E35"/>
    <w:rsid w:val="00D27EA0"/>
    <w:rsid w:val="00D31C09"/>
    <w:rsid w:val="00D33061"/>
    <w:rsid w:val="00D3368D"/>
    <w:rsid w:val="00D3492A"/>
    <w:rsid w:val="00D34ED6"/>
    <w:rsid w:val="00D35CFC"/>
    <w:rsid w:val="00D360F2"/>
    <w:rsid w:val="00D36944"/>
    <w:rsid w:val="00D370B7"/>
    <w:rsid w:val="00D372BC"/>
    <w:rsid w:val="00D400D1"/>
    <w:rsid w:val="00D41571"/>
    <w:rsid w:val="00D41FB3"/>
    <w:rsid w:val="00D4298E"/>
    <w:rsid w:val="00D42E94"/>
    <w:rsid w:val="00D4348A"/>
    <w:rsid w:val="00D4458F"/>
    <w:rsid w:val="00D45277"/>
    <w:rsid w:val="00D45953"/>
    <w:rsid w:val="00D47746"/>
    <w:rsid w:val="00D50EEF"/>
    <w:rsid w:val="00D51560"/>
    <w:rsid w:val="00D51BC5"/>
    <w:rsid w:val="00D51E45"/>
    <w:rsid w:val="00D53BDB"/>
    <w:rsid w:val="00D541B9"/>
    <w:rsid w:val="00D54E03"/>
    <w:rsid w:val="00D567E0"/>
    <w:rsid w:val="00D57DD1"/>
    <w:rsid w:val="00D637A1"/>
    <w:rsid w:val="00D649D9"/>
    <w:rsid w:val="00D64D01"/>
    <w:rsid w:val="00D662E4"/>
    <w:rsid w:val="00D672C3"/>
    <w:rsid w:val="00D67451"/>
    <w:rsid w:val="00D67772"/>
    <w:rsid w:val="00D67E8B"/>
    <w:rsid w:val="00D701DC"/>
    <w:rsid w:val="00D70382"/>
    <w:rsid w:val="00D705B7"/>
    <w:rsid w:val="00D7062C"/>
    <w:rsid w:val="00D7092D"/>
    <w:rsid w:val="00D71A3A"/>
    <w:rsid w:val="00D71A91"/>
    <w:rsid w:val="00D742E3"/>
    <w:rsid w:val="00D75855"/>
    <w:rsid w:val="00D779AF"/>
    <w:rsid w:val="00D806C2"/>
    <w:rsid w:val="00D80B6F"/>
    <w:rsid w:val="00D811EC"/>
    <w:rsid w:val="00D81A9D"/>
    <w:rsid w:val="00D82E30"/>
    <w:rsid w:val="00D83492"/>
    <w:rsid w:val="00D83B57"/>
    <w:rsid w:val="00D85426"/>
    <w:rsid w:val="00D85767"/>
    <w:rsid w:val="00D876E9"/>
    <w:rsid w:val="00D8788C"/>
    <w:rsid w:val="00D87899"/>
    <w:rsid w:val="00D90194"/>
    <w:rsid w:val="00D90222"/>
    <w:rsid w:val="00D9302B"/>
    <w:rsid w:val="00D94C24"/>
    <w:rsid w:val="00D95E6F"/>
    <w:rsid w:val="00DA0974"/>
    <w:rsid w:val="00DA20C4"/>
    <w:rsid w:val="00DA3DAB"/>
    <w:rsid w:val="00DA4B31"/>
    <w:rsid w:val="00DA5AF9"/>
    <w:rsid w:val="00DB0243"/>
    <w:rsid w:val="00DB0A61"/>
    <w:rsid w:val="00DB0AC7"/>
    <w:rsid w:val="00DB0B03"/>
    <w:rsid w:val="00DB1AB3"/>
    <w:rsid w:val="00DB1C90"/>
    <w:rsid w:val="00DB2E7F"/>
    <w:rsid w:val="00DB4155"/>
    <w:rsid w:val="00DB48BA"/>
    <w:rsid w:val="00DB4A00"/>
    <w:rsid w:val="00DB5136"/>
    <w:rsid w:val="00DB515C"/>
    <w:rsid w:val="00DB5218"/>
    <w:rsid w:val="00DB5236"/>
    <w:rsid w:val="00DB52BC"/>
    <w:rsid w:val="00DB617E"/>
    <w:rsid w:val="00DC02E2"/>
    <w:rsid w:val="00DC16A1"/>
    <w:rsid w:val="00DC17F1"/>
    <w:rsid w:val="00DC1D17"/>
    <w:rsid w:val="00DC2981"/>
    <w:rsid w:val="00DC3C8E"/>
    <w:rsid w:val="00DC4E62"/>
    <w:rsid w:val="00DC68A2"/>
    <w:rsid w:val="00DC6AD1"/>
    <w:rsid w:val="00DC6AF1"/>
    <w:rsid w:val="00DD23D2"/>
    <w:rsid w:val="00DD47C4"/>
    <w:rsid w:val="00DD4C95"/>
    <w:rsid w:val="00DD6183"/>
    <w:rsid w:val="00DD7620"/>
    <w:rsid w:val="00DD7D9D"/>
    <w:rsid w:val="00DE014A"/>
    <w:rsid w:val="00DE17A0"/>
    <w:rsid w:val="00DE232A"/>
    <w:rsid w:val="00DE2E41"/>
    <w:rsid w:val="00DE5D94"/>
    <w:rsid w:val="00DE60BF"/>
    <w:rsid w:val="00DE6ABA"/>
    <w:rsid w:val="00DE7093"/>
    <w:rsid w:val="00DE71AB"/>
    <w:rsid w:val="00DE76FC"/>
    <w:rsid w:val="00DF01F5"/>
    <w:rsid w:val="00DF053E"/>
    <w:rsid w:val="00DF0BB8"/>
    <w:rsid w:val="00DF135F"/>
    <w:rsid w:val="00DF137F"/>
    <w:rsid w:val="00DF1A70"/>
    <w:rsid w:val="00DF24A7"/>
    <w:rsid w:val="00DF2926"/>
    <w:rsid w:val="00DF4C22"/>
    <w:rsid w:val="00DF4EB0"/>
    <w:rsid w:val="00DF54C9"/>
    <w:rsid w:val="00DF5EC6"/>
    <w:rsid w:val="00DF6399"/>
    <w:rsid w:val="00DF76C3"/>
    <w:rsid w:val="00E00CFD"/>
    <w:rsid w:val="00E02393"/>
    <w:rsid w:val="00E026CF"/>
    <w:rsid w:val="00E0313C"/>
    <w:rsid w:val="00E03A00"/>
    <w:rsid w:val="00E0406D"/>
    <w:rsid w:val="00E04F01"/>
    <w:rsid w:val="00E0517E"/>
    <w:rsid w:val="00E10DD8"/>
    <w:rsid w:val="00E11840"/>
    <w:rsid w:val="00E12E2B"/>
    <w:rsid w:val="00E13AF8"/>
    <w:rsid w:val="00E13BFA"/>
    <w:rsid w:val="00E14428"/>
    <w:rsid w:val="00E14784"/>
    <w:rsid w:val="00E14CA6"/>
    <w:rsid w:val="00E1592B"/>
    <w:rsid w:val="00E17F43"/>
    <w:rsid w:val="00E20056"/>
    <w:rsid w:val="00E20184"/>
    <w:rsid w:val="00E2176D"/>
    <w:rsid w:val="00E225FF"/>
    <w:rsid w:val="00E24609"/>
    <w:rsid w:val="00E24CE1"/>
    <w:rsid w:val="00E253D6"/>
    <w:rsid w:val="00E260DD"/>
    <w:rsid w:val="00E27D15"/>
    <w:rsid w:val="00E306D4"/>
    <w:rsid w:val="00E308CC"/>
    <w:rsid w:val="00E3092A"/>
    <w:rsid w:val="00E3116F"/>
    <w:rsid w:val="00E318EC"/>
    <w:rsid w:val="00E31988"/>
    <w:rsid w:val="00E31C8A"/>
    <w:rsid w:val="00E321F1"/>
    <w:rsid w:val="00E32205"/>
    <w:rsid w:val="00E32791"/>
    <w:rsid w:val="00E3573E"/>
    <w:rsid w:val="00E361C3"/>
    <w:rsid w:val="00E404CC"/>
    <w:rsid w:val="00E4168F"/>
    <w:rsid w:val="00E41EC3"/>
    <w:rsid w:val="00E42A81"/>
    <w:rsid w:val="00E433BC"/>
    <w:rsid w:val="00E444AE"/>
    <w:rsid w:val="00E456D9"/>
    <w:rsid w:val="00E462E3"/>
    <w:rsid w:val="00E4641A"/>
    <w:rsid w:val="00E47BC8"/>
    <w:rsid w:val="00E50F31"/>
    <w:rsid w:val="00E5139A"/>
    <w:rsid w:val="00E519C3"/>
    <w:rsid w:val="00E5431B"/>
    <w:rsid w:val="00E5432D"/>
    <w:rsid w:val="00E55337"/>
    <w:rsid w:val="00E56B3B"/>
    <w:rsid w:val="00E574E6"/>
    <w:rsid w:val="00E578BA"/>
    <w:rsid w:val="00E6003A"/>
    <w:rsid w:val="00E60EE8"/>
    <w:rsid w:val="00E630EC"/>
    <w:rsid w:val="00E654AF"/>
    <w:rsid w:val="00E65B04"/>
    <w:rsid w:val="00E65CFD"/>
    <w:rsid w:val="00E661F8"/>
    <w:rsid w:val="00E66C5F"/>
    <w:rsid w:val="00E7095D"/>
    <w:rsid w:val="00E70A03"/>
    <w:rsid w:val="00E71B41"/>
    <w:rsid w:val="00E721DC"/>
    <w:rsid w:val="00E72B6D"/>
    <w:rsid w:val="00E731D5"/>
    <w:rsid w:val="00E73633"/>
    <w:rsid w:val="00E736D0"/>
    <w:rsid w:val="00E7411C"/>
    <w:rsid w:val="00E75A70"/>
    <w:rsid w:val="00E75CB9"/>
    <w:rsid w:val="00E765AA"/>
    <w:rsid w:val="00E76B89"/>
    <w:rsid w:val="00E82C64"/>
    <w:rsid w:val="00E84459"/>
    <w:rsid w:val="00E84D4D"/>
    <w:rsid w:val="00E85A5D"/>
    <w:rsid w:val="00E86F2E"/>
    <w:rsid w:val="00E86FE2"/>
    <w:rsid w:val="00E86FEF"/>
    <w:rsid w:val="00E9083A"/>
    <w:rsid w:val="00E91509"/>
    <w:rsid w:val="00E91C1A"/>
    <w:rsid w:val="00E9219C"/>
    <w:rsid w:val="00E93207"/>
    <w:rsid w:val="00E94630"/>
    <w:rsid w:val="00E94E5E"/>
    <w:rsid w:val="00E97002"/>
    <w:rsid w:val="00E972A2"/>
    <w:rsid w:val="00EA03E9"/>
    <w:rsid w:val="00EA0FE4"/>
    <w:rsid w:val="00EA4D4B"/>
    <w:rsid w:val="00EA5483"/>
    <w:rsid w:val="00EA6493"/>
    <w:rsid w:val="00EA6983"/>
    <w:rsid w:val="00EA6FBE"/>
    <w:rsid w:val="00EB0D0F"/>
    <w:rsid w:val="00EB39BF"/>
    <w:rsid w:val="00EB3C0B"/>
    <w:rsid w:val="00EB4C69"/>
    <w:rsid w:val="00EB4DDC"/>
    <w:rsid w:val="00EB562A"/>
    <w:rsid w:val="00EB57C2"/>
    <w:rsid w:val="00EB5A72"/>
    <w:rsid w:val="00EB64B7"/>
    <w:rsid w:val="00EB6557"/>
    <w:rsid w:val="00EB73D2"/>
    <w:rsid w:val="00EC0D8B"/>
    <w:rsid w:val="00EC0F5E"/>
    <w:rsid w:val="00EC2BF4"/>
    <w:rsid w:val="00EC3306"/>
    <w:rsid w:val="00EC4102"/>
    <w:rsid w:val="00EC63A3"/>
    <w:rsid w:val="00EC668C"/>
    <w:rsid w:val="00EC6836"/>
    <w:rsid w:val="00EC69D3"/>
    <w:rsid w:val="00EC6EA8"/>
    <w:rsid w:val="00ED0C6A"/>
    <w:rsid w:val="00ED1C61"/>
    <w:rsid w:val="00ED1FF7"/>
    <w:rsid w:val="00ED368B"/>
    <w:rsid w:val="00ED541A"/>
    <w:rsid w:val="00EE0420"/>
    <w:rsid w:val="00EE04E3"/>
    <w:rsid w:val="00EE09A6"/>
    <w:rsid w:val="00EE0ECC"/>
    <w:rsid w:val="00EE2A54"/>
    <w:rsid w:val="00EE35AB"/>
    <w:rsid w:val="00EE50AC"/>
    <w:rsid w:val="00EE600D"/>
    <w:rsid w:val="00EE610A"/>
    <w:rsid w:val="00EE685D"/>
    <w:rsid w:val="00EE74AB"/>
    <w:rsid w:val="00EF01F8"/>
    <w:rsid w:val="00EF0A8A"/>
    <w:rsid w:val="00EF2233"/>
    <w:rsid w:val="00EF3D50"/>
    <w:rsid w:val="00EF401A"/>
    <w:rsid w:val="00EF4CFD"/>
    <w:rsid w:val="00EF58CE"/>
    <w:rsid w:val="00EF7F5F"/>
    <w:rsid w:val="00F00BDB"/>
    <w:rsid w:val="00F0107E"/>
    <w:rsid w:val="00F028D9"/>
    <w:rsid w:val="00F031EF"/>
    <w:rsid w:val="00F043F7"/>
    <w:rsid w:val="00F051F0"/>
    <w:rsid w:val="00F06939"/>
    <w:rsid w:val="00F07193"/>
    <w:rsid w:val="00F0754C"/>
    <w:rsid w:val="00F07A82"/>
    <w:rsid w:val="00F112E8"/>
    <w:rsid w:val="00F11D7B"/>
    <w:rsid w:val="00F1206C"/>
    <w:rsid w:val="00F14B1A"/>
    <w:rsid w:val="00F15A9B"/>
    <w:rsid w:val="00F15DF0"/>
    <w:rsid w:val="00F166BE"/>
    <w:rsid w:val="00F16C20"/>
    <w:rsid w:val="00F17482"/>
    <w:rsid w:val="00F20A71"/>
    <w:rsid w:val="00F20AE5"/>
    <w:rsid w:val="00F20CD1"/>
    <w:rsid w:val="00F20D46"/>
    <w:rsid w:val="00F20DD1"/>
    <w:rsid w:val="00F21BAC"/>
    <w:rsid w:val="00F24A31"/>
    <w:rsid w:val="00F250E9"/>
    <w:rsid w:val="00F254A7"/>
    <w:rsid w:val="00F2560A"/>
    <w:rsid w:val="00F268D5"/>
    <w:rsid w:val="00F268D8"/>
    <w:rsid w:val="00F26D97"/>
    <w:rsid w:val="00F27EE1"/>
    <w:rsid w:val="00F31A4E"/>
    <w:rsid w:val="00F31BDF"/>
    <w:rsid w:val="00F327A4"/>
    <w:rsid w:val="00F3349D"/>
    <w:rsid w:val="00F34652"/>
    <w:rsid w:val="00F365EC"/>
    <w:rsid w:val="00F4089B"/>
    <w:rsid w:val="00F41C07"/>
    <w:rsid w:val="00F46882"/>
    <w:rsid w:val="00F46D74"/>
    <w:rsid w:val="00F51F78"/>
    <w:rsid w:val="00F52DBF"/>
    <w:rsid w:val="00F53C36"/>
    <w:rsid w:val="00F543E6"/>
    <w:rsid w:val="00F54690"/>
    <w:rsid w:val="00F54E15"/>
    <w:rsid w:val="00F54ED0"/>
    <w:rsid w:val="00F565FD"/>
    <w:rsid w:val="00F600BE"/>
    <w:rsid w:val="00F60450"/>
    <w:rsid w:val="00F62628"/>
    <w:rsid w:val="00F62EE7"/>
    <w:rsid w:val="00F6464E"/>
    <w:rsid w:val="00F64691"/>
    <w:rsid w:val="00F64C08"/>
    <w:rsid w:val="00F64F04"/>
    <w:rsid w:val="00F655D0"/>
    <w:rsid w:val="00F6595D"/>
    <w:rsid w:val="00F65CCD"/>
    <w:rsid w:val="00F67D4A"/>
    <w:rsid w:val="00F70746"/>
    <w:rsid w:val="00F70BD4"/>
    <w:rsid w:val="00F717D9"/>
    <w:rsid w:val="00F719FC"/>
    <w:rsid w:val="00F72A68"/>
    <w:rsid w:val="00F733A0"/>
    <w:rsid w:val="00F73B6A"/>
    <w:rsid w:val="00F7448C"/>
    <w:rsid w:val="00F75819"/>
    <w:rsid w:val="00F77512"/>
    <w:rsid w:val="00F804E2"/>
    <w:rsid w:val="00F80783"/>
    <w:rsid w:val="00F8137B"/>
    <w:rsid w:val="00F8245A"/>
    <w:rsid w:val="00F8328E"/>
    <w:rsid w:val="00F8329B"/>
    <w:rsid w:val="00F85D58"/>
    <w:rsid w:val="00F85F25"/>
    <w:rsid w:val="00F86586"/>
    <w:rsid w:val="00F86A6E"/>
    <w:rsid w:val="00F86B4B"/>
    <w:rsid w:val="00F87D01"/>
    <w:rsid w:val="00F9337B"/>
    <w:rsid w:val="00F95744"/>
    <w:rsid w:val="00F957B2"/>
    <w:rsid w:val="00F96B2A"/>
    <w:rsid w:val="00F9735F"/>
    <w:rsid w:val="00FA16F9"/>
    <w:rsid w:val="00FA1D58"/>
    <w:rsid w:val="00FA238E"/>
    <w:rsid w:val="00FA28E8"/>
    <w:rsid w:val="00FA30E2"/>
    <w:rsid w:val="00FA4734"/>
    <w:rsid w:val="00FA4E81"/>
    <w:rsid w:val="00FA58D3"/>
    <w:rsid w:val="00FA6AC1"/>
    <w:rsid w:val="00FB0928"/>
    <w:rsid w:val="00FB155B"/>
    <w:rsid w:val="00FB2011"/>
    <w:rsid w:val="00FB2512"/>
    <w:rsid w:val="00FB2AD1"/>
    <w:rsid w:val="00FB30A2"/>
    <w:rsid w:val="00FB3237"/>
    <w:rsid w:val="00FB5169"/>
    <w:rsid w:val="00FB6083"/>
    <w:rsid w:val="00FB669C"/>
    <w:rsid w:val="00FB6898"/>
    <w:rsid w:val="00FB7B3B"/>
    <w:rsid w:val="00FC00DD"/>
    <w:rsid w:val="00FC0460"/>
    <w:rsid w:val="00FC0627"/>
    <w:rsid w:val="00FC0C39"/>
    <w:rsid w:val="00FC215E"/>
    <w:rsid w:val="00FC3981"/>
    <w:rsid w:val="00FC6381"/>
    <w:rsid w:val="00FC68A8"/>
    <w:rsid w:val="00FC70E3"/>
    <w:rsid w:val="00FD0A03"/>
    <w:rsid w:val="00FD0A10"/>
    <w:rsid w:val="00FD24B8"/>
    <w:rsid w:val="00FD2D0A"/>
    <w:rsid w:val="00FD43EC"/>
    <w:rsid w:val="00FD45AA"/>
    <w:rsid w:val="00FD47C6"/>
    <w:rsid w:val="00FD71CE"/>
    <w:rsid w:val="00FE071D"/>
    <w:rsid w:val="00FE0911"/>
    <w:rsid w:val="00FE14CC"/>
    <w:rsid w:val="00FE1A41"/>
    <w:rsid w:val="00FE23C3"/>
    <w:rsid w:val="00FE36F2"/>
    <w:rsid w:val="00FE4671"/>
    <w:rsid w:val="00FE58AC"/>
    <w:rsid w:val="00FE6F9D"/>
    <w:rsid w:val="00FF0F6A"/>
    <w:rsid w:val="00FF3D32"/>
    <w:rsid w:val="00FF4908"/>
    <w:rsid w:val="00FF5BBB"/>
    <w:rsid w:val="0102DA53"/>
    <w:rsid w:val="015A8208"/>
    <w:rsid w:val="024ABDC3"/>
    <w:rsid w:val="02A5487E"/>
    <w:rsid w:val="040ED34A"/>
    <w:rsid w:val="04A112E0"/>
    <w:rsid w:val="0587EA1F"/>
    <w:rsid w:val="08B4E556"/>
    <w:rsid w:val="0982A10D"/>
    <w:rsid w:val="0BD94B2D"/>
    <w:rsid w:val="0CA74A8A"/>
    <w:rsid w:val="0D1CE80A"/>
    <w:rsid w:val="0DD181A8"/>
    <w:rsid w:val="107AAF3D"/>
    <w:rsid w:val="10DF7F56"/>
    <w:rsid w:val="10EB90F1"/>
    <w:rsid w:val="1134CED2"/>
    <w:rsid w:val="11AE1769"/>
    <w:rsid w:val="12DF0431"/>
    <w:rsid w:val="13749336"/>
    <w:rsid w:val="13A88F76"/>
    <w:rsid w:val="13DE4A4C"/>
    <w:rsid w:val="144455EE"/>
    <w:rsid w:val="1491D434"/>
    <w:rsid w:val="156BCF26"/>
    <w:rsid w:val="16771B9F"/>
    <w:rsid w:val="1691889E"/>
    <w:rsid w:val="16B11EF3"/>
    <w:rsid w:val="16B3B143"/>
    <w:rsid w:val="16EB6307"/>
    <w:rsid w:val="176F2840"/>
    <w:rsid w:val="17F9C882"/>
    <w:rsid w:val="1824BAA1"/>
    <w:rsid w:val="18E73A65"/>
    <w:rsid w:val="1ABF65E0"/>
    <w:rsid w:val="1B6963F0"/>
    <w:rsid w:val="1D22C83B"/>
    <w:rsid w:val="1D76B58B"/>
    <w:rsid w:val="1E19011B"/>
    <w:rsid w:val="1E1E8F84"/>
    <w:rsid w:val="1E5354B2"/>
    <w:rsid w:val="1F8C8AE6"/>
    <w:rsid w:val="21310257"/>
    <w:rsid w:val="214732F7"/>
    <w:rsid w:val="215FE0EE"/>
    <w:rsid w:val="22EF38D5"/>
    <w:rsid w:val="22F8F6FE"/>
    <w:rsid w:val="24B9878A"/>
    <w:rsid w:val="24D3F122"/>
    <w:rsid w:val="250DA221"/>
    <w:rsid w:val="2614C08E"/>
    <w:rsid w:val="26AFD15C"/>
    <w:rsid w:val="26EEB965"/>
    <w:rsid w:val="2706EE49"/>
    <w:rsid w:val="28D924C6"/>
    <w:rsid w:val="2A422485"/>
    <w:rsid w:val="2A6B5B7B"/>
    <w:rsid w:val="2A873379"/>
    <w:rsid w:val="2ABF7BE4"/>
    <w:rsid w:val="2B250BDB"/>
    <w:rsid w:val="2B6CFA7E"/>
    <w:rsid w:val="2B71C62A"/>
    <w:rsid w:val="2D2E58DB"/>
    <w:rsid w:val="2D6C39D6"/>
    <w:rsid w:val="2E5CE92C"/>
    <w:rsid w:val="2EC6979A"/>
    <w:rsid w:val="2FA3019C"/>
    <w:rsid w:val="301BF00B"/>
    <w:rsid w:val="3128E2C6"/>
    <w:rsid w:val="31F22906"/>
    <w:rsid w:val="32E73FE0"/>
    <w:rsid w:val="35352B75"/>
    <w:rsid w:val="3588E493"/>
    <w:rsid w:val="365C3332"/>
    <w:rsid w:val="36C33D61"/>
    <w:rsid w:val="36D2EED6"/>
    <w:rsid w:val="37496DA6"/>
    <w:rsid w:val="37549B84"/>
    <w:rsid w:val="3772D6EC"/>
    <w:rsid w:val="393138EC"/>
    <w:rsid w:val="3986D26C"/>
    <w:rsid w:val="39E9B61A"/>
    <w:rsid w:val="39E9F1E8"/>
    <w:rsid w:val="39F3C4C3"/>
    <w:rsid w:val="3A1E753E"/>
    <w:rsid w:val="3A71E9DB"/>
    <w:rsid w:val="3B07BC85"/>
    <w:rsid w:val="3B8ACFCA"/>
    <w:rsid w:val="3C57D6F7"/>
    <w:rsid w:val="3DA0EB71"/>
    <w:rsid w:val="3DA3C594"/>
    <w:rsid w:val="3DCA9715"/>
    <w:rsid w:val="3E4B0A33"/>
    <w:rsid w:val="401B0973"/>
    <w:rsid w:val="404BEBE7"/>
    <w:rsid w:val="4156860E"/>
    <w:rsid w:val="4170A1E7"/>
    <w:rsid w:val="41ECBC86"/>
    <w:rsid w:val="4373367D"/>
    <w:rsid w:val="43A42E8F"/>
    <w:rsid w:val="456CAAEE"/>
    <w:rsid w:val="45F2F2E2"/>
    <w:rsid w:val="46BA0F01"/>
    <w:rsid w:val="46F859D9"/>
    <w:rsid w:val="47C53B30"/>
    <w:rsid w:val="47D51F29"/>
    <w:rsid w:val="47DE3A70"/>
    <w:rsid w:val="47E91A2B"/>
    <w:rsid w:val="48B365C6"/>
    <w:rsid w:val="490B9687"/>
    <w:rsid w:val="49644C19"/>
    <w:rsid w:val="49AECFA5"/>
    <w:rsid w:val="4A17E21F"/>
    <w:rsid w:val="4CCD97EF"/>
    <w:rsid w:val="4D3EAA85"/>
    <w:rsid w:val="4F6C73CB"/>
    <w:rsid w:val="4FF12A9D"/>
    <w:rsid w:val="53B5F607"/>
    <w:rsid w:val="547E96C4"/>
    <w:rsid w:val="54A27BC3"/>
    <w:rsid w:val="553E9689"/>
    <w:rsid w:val="5689131B"/>
    <w:rsid w:val="574B7E24"/>
    <w:rsid w:val="57EBD3C5"/>
    <w:rsid w:val="584D42FD"/>
    <w:rsid w:val="591739F4"/>
    <w:rsid w:val="5A8FC5C8"/>
    <w:rsid w:val="5A9A4CA3"/>
    <w:rsid w:val="5C8495FD"/>
    <w:rsid w:val="5D7061E2"/>
    <w:rsid w:val="5DA25F50"/>
    <w:rsid w:val="5E16CD34"/>
    <w:rsid w:val="6055998C"/>
    <w:rsid w:val="6287182D"/>
    <w:rsid w:val="6346ABE5"/>
    <w:rsid w:val="63EE62C9"/>
    <w:rsid w:val="645D862C"/>
    <w:rsid w:val="64C83ED9"/>
    <w:rsid w:val="653CC3EB"/>
    <w:rsid w:val="6837D596"/>
    <w:rsid w:val="68DF250F"/>
    <w:rsid w:val="6999B9F1"/>
    <w:rsid w:val="69FEE67E"/>
    <w:rsid w:val="6CB153CE"/>
    <w:rsid w:val="6CB4B020"/>
    <w:rsid w:val="6CC05245"/>
    <w:rsid w:val="6ED17B8E"/>
    <w:rsid w:val="71F1B100"/>
    <w:rsid w:val="73369689"/>
    <w:rsid w:val="74D488FA"/>
    <w:rsid w:val="7706E76F"/>
    <w:rsid w:val="78BD33F7"/>
    <w:rsid w:val="795ECF4A"/>
    <w:rsid w:val="795F38B8"/>
    <w:rsid w:val="7966C1CA"/>
    <w:rsid w:val="7A7220FF"/>
    <w:rsid w:val="7C5AD43A"/>
    <w:rsid w:val="7CA319F7"/>
    <w:rsid w:val="7D5E669A"/>
    <w:rsid w:val="7E47E4F1"/>
    <w:rsid w:val="7E9F19CC"/>
    <w:rsid w:val="7EC0FD8D"/>
    <w:rsid w:val="7FD869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7EE02"/>
  <w15:docId w15:val="{6DAB24F5-89D4-4B9B-872F-59FBF9EC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A4734"/>
    <w:rPr>
      <w:sz w:val="24"/>
      <w:szCs w:val="24"/>
    </w:rPr>
  </w:style>
  <w:style w:type="paragraph" w:styleId="Nadpis1">
    <w:name w:val="heading 1"/>
    <w:aliases w:val="nadpis 1"/>
    <w:basedOn w:val="Normln"/>
    <w:next w:val="Normln"/>
    <w:link w:val="Nadpis1Char"/>
    <w:qFormat/>
    <w:rsid w:val="00C85ACC"/>
    <w:pPr>
      <w:keepNext/>
      <w:outlineLvl w:val="0"/>
    </w:pPr>
    <w:rPr>
      <w:b/>
      <w:bCs/>
    </w:rPr>
  </w:style>
  <w:style w:type="paragraph" w:styleId="Nadpis2">
    <w:name w:val="heading 2"/>
    <w:aliases w:val="nadpis 2"/>
    <w:basedOn w:val="Normln"/>
    <w:next w:val="Normln"/>
    <w:link w:val="Nadpis2Char"/>
    <w:qFormat/>
    <w:rsid w:val="00FB669C"/>
    <w:pPr>
      <w:keepNext/>
      <w:spacing w:before="240" w:after="120"/>
      <w:jc w:val="center"/>
      <w:outlineLvl w:val="1"/>
    </w:pPr>
    <w:rPr>
      <w:b/>
      <w:bCs/>
      <w:iCs/>
      <w:sz w:val="28"/>
      <w:szCs w:val="28"/>
    </w:rPr>
  </w:style>
  <w:style w:type="paragraph" w:styleId="Nadpis3">
    <w:name w:val="heading 3"/>
    <w:basedOn w:val="Normln"/>
    <w:next w:val="Normln"/>
    <w:qFormat/>
    <w:rsid w:val="00C85ACC"/>
    <w:pPr>
      <w:keepNext/>
      <w:outlineLvl w:val="2"/>
    </w:pPr>
    <w:rPr>
      <w:b/>
      <w:bCs/>
    </w:rPr>
  </w:style>
  <w:style w:type="paragraph" w:styleId="Nadpis4">
    <w:name w:val="heading 4"/>
    <w:basedOn w:val="Normln"/>
    <w:next w:val="Normln"/>
    <w:link w:val="Nadpis4Char"/>
    <w:qFormat/>
    <w:rsid w:val="00C85ACC"/>
    <w:pPr>
      <w:keepNext/>
      <w:widowControl w:val="0"/>
      <w:autoSpaceDE w:val="0"/>
      <w:autoSpaceDN w:val="0"/>
      <w:adjustRightInd w:val="0"/>
      <w:jc w:val="both"/>
      <w:outlineLvl w:val="3"/>
    </w:pPr>
    <w:rPr>
      <w:b/>
      <w:bCs/>
      <w:color w:val="000000"/>
      <w:szCs w:val="22"/>
    </w:rPr>
  </w:style>
  <w:style w:type="paragraph" w:styleId="Nadpis5">
    <w:name w:val="heading 5"/>
    <w:basedOn w:val="Normln"/>
    <w:next w:val="Normln"/>
    <w:link w:val="Nadpis5Char"/>
    <w:uiPriority w:val="9"/>
    <w:semiHidden/>
    <w:unhideWhenUsed/>
    <w:qFormat/>
    <w:rsid w:val="00DD7D9D"/>
    <w:pPr>
      <w:keepNext/>
      <w:keepLines/>
      <w:spacing w:before="40"/>
      <w:outlineLvl w:val="4"/>
    </w:pPr>
    <w:rPr>
      <w:rFonts w:asciiTheme="majorHAnsi" w:eastAsiaTheme="majorEastAsia" w:hAnsiTheme="majorHAnsi" w:cstheme="majorBidi"/>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C85ACC"/>
    <w:pPr>
      <w:spacing w:before="120"/>
      <w:ind w:firstLine="708"/>
      <w:jc w:val="both"/>
    </w:pPr>
  </w:style>
  <w:style w:type="paragraph" w:styleId="Zkladntext">
    <w:name w:val="Body Text"/>
    <w:basedOn w:val="Normln"/>
    <w:link w:val="ZkladntextChar"/>
    <w:rsid w:val="00C85ACC"/>
    <w:pPr>
      <w:overflowPunct w:val="0"/>
      <w:autoSpaceDE w:val="0"/>
      <w:autoSpaceDN w:val="0"/>
      <w:adjustRightInd w:val="0"/>
      <w:jc w:val="both"/>
      <w:textAlignment w:val="baseline"/>
    </w:pPr>
    <w:rPr>
      <w:szCs w:val="20"/>
    </w:rPr>
  </w:style>
  <w:style w:type="paragraph" w:styleId="Podnadpis">
    <w:name w:val="Subtitle"/>
    <w:basedOn w:val="Normln"/>
    <w:qFormat/>
    <w:rsid w:val="00C85ACC"/>
    <w:pPr>
      <w:spacing w:before="120"/>
      <w:jc w:val="center"/>
    </w:pPr>
    <w:rPr>
      <w:rFonts w:ascii="Arial" w:hAnsi="Arial"/>
      <w:b/>
      <w:sz w:val="22"/>
      <w:szCs w:val="20"/>
    </w:rPr>
  </w:style>
  <w:style w:type="paragraph" w:styleId="Zkladntextodsazen2">
    <w:name w:val="Body Text Indent 2"/>
    <w:basedOn w:val="Normln"/>
    <w:rsid w:val="00C85ACC"/>
    <w:pPr>
      <w:tabs>
        <w:tab w:val="left" w:pos="0"/>
        <w:tab w:val="left" w:pos="709"/>
      </w:tabs>
      <w:spacing w:before="240"/>
      <w:ind w:left="-142" w:firstLine="142"/>
      <w:jc w:val="both"/>
    </w:pPr>
    <w:rPr>
      <w:rFonts w:ascii="Arial" w:hAnsi="Arial"/>
      <w:sz w:val="22"/>
      <w:szCs w:val="20"/>
    </w:rPr>
  </w:style>
  <w:style w:type="paragraph" w:styleId="Nzev">
    <w:name w:val="Title"/>
    <w:basedOn w:val="Normln"/>
    <w:qFormat/>
    <w:rsid w:val="00C85ACC"/>
    <w:pPr>
      <w:jc w:val="center"/>
    </w:pPr>
    <w:rPr>
      <w:b/>
      <w:bCs/>
      <w:szCs w:val="20"/>
    </w:rPr>
  </w:style>
  <w:style w:type="paragraph" w:styleId="Zkladntextodsazen3">
    <w:name w:val="Body Text Indent 3"/>
    <w:basedOn w:val="Normln"/>
    <w:semiHidden/>
    <w:rsid w:val="00C85ACC"/>
    <w:pPr>
      <w:ind w:firstLine="709"/>
      <w:jc w:val="both"/>
    </w:pPr>
  </w:style>
  <w:style w:type="paragraph" w:styleId="Zkladntext2">
    <w:name w:val="Body Text 2"/>
    <w:basedOn w:val="Normln"/>
    <w:rsid w:val="00C85ACC"/>
    <w:pPr>
      <w:jc w:val="both"/>
    </w:pPr>
    <w:rPr>
      <w:rFonts w:ascii="Arial" w:hAnsi="Arial"/>
      <w:szCs w:val="20"/>
    </w:rPr>
  </w:style>
  <w:style w:type="paragraph" w:styleId="Zhlav">
    <w:name w:val="header"/>
    <w:basedOn w:val="Normln"/>
    <w:link w:val="ZhlavChar"/>
    <w:rsid w:val="00C85ACC"/>
    <w:pPr>
      <w:tabs>
        <w:tab w:val="center" w:pos="4536"/>
        <w:tab w:val="right" w:pos="9072"/>
      </w:tabs>
    </w:pPr>
  </w:style>
  <w:style w:type="paragraph" w:styleId="Zkladntext3">
    <w:name w:val="Body Text 3"/>
    <w:basedOn w:val="Normln"/>
    <w:semiHidden/>
    <w:rsid w:val="00C85ACC"/>
    <w:pPr>
      <w:jc w:val="both"/>
    </w:pPr>
    <w:rPr>
      <w:b/>
      <w:u w:val="single"/>
    </w:rPr>
  </w:style>
  <w:style w:type="paragraph" w:customStyle="1" w:styleId="Normln0">
    <w:name w:val="Normln"/>
    <w:rsid w:val="00C85ACC"/>
    <w:pPr>
      <w:autoSpaceDE w:val="0"/>
      <w:autoSpaceDN w:val="0"/>
      <w:adjustRightInd w:val="0"/>
    </w:pPr>
    <w:rPr>
      <w:rFonts w:ascii="MS Sans Serif" w:hAnsi="MS Sans Serif"/>
      <w:sz w:val="24"/>
      <w:szCs w:val="24"/>
    </w:rPr>
  </w:style>
  <w:style w:type="paragraph" w:styleId="Zpat">
    <w:name w:val="footer"/>
    <w:basedOn w:val="Normln"/>
    <w:link w:val="ZpatChar"/>
    <w:uiPriority w:val="99"/>
    <w:rsid w:val="00C85ACC"/>
    <w:pPr>
      <w:tabs>
        <w:tab w:val="center" w:pos="4536"/>
        <w:tab w:val="right" w:pos="9072"/>
      </w:tabs>
    </w:pPr>
    <w:rPr>
      <w:sz w:val="20"/>
      <w:szCs w:val="20"/>
    </w:rPr>
  </w:style>
  <w:style w:type="paragraph" w:styleId="Normlnweb">
    <w:name w:val="Normal (Web)"/>
    <w:basedOn w:val="Normln"/>
    <w:uiPriority w:val="99"/>
    <w:semiHidden/>
    <w:rsid w:val="00521BDC"/>
    <w:pPr>
      <w:spacing w:before="150" w:after="150"/>
      <w:ind w:left="675" w:right="525"/>
    </w:pPr>
    <w:rPr>
      <w:sz w:val="19"/>
      <w:szCs w:val="19"/>
    </w:rPr>
  </w:style>
  <w:style w:type="paragraph" w:customStyle="1" w:styleId="KRUTEXTODSTAVCE">
    <w:name w:val="_KRU_TEXT_ODSTAVCE"/>
    <w:basedOn w:val="Normln"/>
    <w:rsid w:val="0080759C"/>
    <w:pPr>
      <w:spacing w:line="288" w:lineRule="auto"/>
    </w:pPr>
    <w:rPr>
      <w:rFonts w:ascii="Arial" w:hAnsi="Arial" w:cs="Arial"/>
      <w:sz w:val="22"/>
    </w:rPr>
  </w:style>
  <w:style w:type="character" w:customStyle="1" w:styleId="ZpatChar">
    <w:name w:val="Zápatí Char"/>
    <w:basedOn w:val="Standardnpsmoodstavce"/>
    <w:link w:val="Zpat"/>
    <w:uiPriority w:val="99"/>
    <w:rsid w:val="005D2E08"/>
  </w:style>
  <w:style w:type="character" w:customStyle="1" w:styleId="Nadpis2Char">
    <w:name w:val="Nadpis 2 Char"/>
    <w:aliases w:val="nadpis 2 Char"/>
    <w:link w:val="Nadpis2"/>
    <w:rsid w:val="00FB669C"/>
    <w:rPr>
      <w:rFonts w:cs="Arial"/>
      <w:b/>
      <w:bCs/>
      <w:iCs/>
      <w:sz w:val="28"/>
      <w:szCs w:val="28"/>
    </w:rPr>
  </w:style>
  <w:style w:type="character" w:customStyle="1" w:styleId="Nadpis1Char">
    <w:name w:val="Nadpis 1 Char"/>
    <w:aliases w:val="nadpis 1 Char"/>
    <w:link w:val="Nadpis1"/>
    <w:rsid w:val="00FB669C"/>
    <w:rPr>
      <w:b/>
      <w:bCs/>
      <w:sz w:val="24"/>
      <w:szCs w:val="24"/>
    </w:rPr>
  </w:style>
  <w:style w:type="paragraph" w:styleId="Textbubliny">
    <w:name w:val="Balloon Text"/>
    <w:basedOn w:val="Normln"/>
    <w:link w:val="TextbublinyChar"/>
    <w:uiPriority w:val="99"/>
    <w:semiHidden/>
    <w:unhideWhenUsed/>
    <w:rsid w:val="00FD45AA"/>
    <w:rPr>
      <w:rFonts w:ascii="Tahoma" w:hAnsi="Tahoma" w:cs="Tahoma"/>
      <w:sz w:val="16"/>
      <w:szCs w:val="16"/>
    </w:rPr>
  </w:style>
  <w:style w:type="character" w:customStyle="1" w:styleId="TextbublinyChar">
    <w:name w:val="Text bubliny Char"/>
    <w:link w:val="Textbubliny"/>
    <w:uiPriority w:val="99"/>
    <w:semiHidden/>
    <w:rsid w:val="00FD45AA"/>
    <w:rPr>
      <w:rFonts w:ascii="Tahoma" w:hAnsi="Tahoma" w:cs="Tahoma"/>
      <w:sz w:val="16"/>
      <w:szCs w:val="16"/>
    </w:rPr>
  </w:style>
  <w:style w:type="paragraph" w:customStyle="1" w:styleId="odstavec">
    <w:name w:val="odstavec"/>
    <w:basedOn w:val="Normln"/>
    <w:rsid w:val="003C03B6"/>
    <w:pPr>
      <w:spacing w:before="120"/>
      <w:ind w:firstLine="482"/>
      <w:jc w:val="both"/>
    </w:pPr>
    <w:rPr>
      <w:noProof/>
    </w:rPr>
  </w:style>
  <w:style w:type="paragraph" w:customStyle="1" w:styleId="nadpisvyhlky">
    <w:name w:val="nadpis vyhlášky"/>
    <w:basedOn w:val="Normln"/>
    <w:next w:val="Normln"/>
    <w:uiPriority w:val="99"/>
    <w:rsid w:val="006D18C4"/>
    <w:pPr>
      <w:keepNext/>
      <w:keepLines/>
      <w:spacing w:before="120"/>
      <w:jc w:val="center"/>
      <w:outlineLvl w:val="0"/>
    </w:pPr>
    <w:rPr>
      <w:b/>
      <w:szCs w:val="20"/>
    </w:rPr>
  </w:style>
  <w:style w:type="paragraph" w:customStyle="1" w:styleId="Nadpisparagrafu">
    <w:name w:val="Nadpis paragrafu"/>
    <w:basedOn w:val="Normln"/>
    <w:next w:val="Normln"/>
    <w:uiPriority w:val="99"/>
    <w:rsid w:val="006D18C4"/>
    <w:pPr>
      <w:keepNext/>
      <w:keepLines/>
      <w:spacing w:before="240"/>
      <w:jc w:val="center"/>
      <w:outlineLvl w:val="5"/>
    </w:pPr>
    <w:rPr>
      <w:b/>
      <w:szCs w:val="20"/>
    </w:rPr>
  </w:style>
  <w:style w:type="paragraph" w:customStyle="1" w:styleId="Textodstavce">
    <w:name w:val="Text odstavce"/>
    <w:basedOn w:val="Normln"/>
    <w:uiPriority w:val="99"/>
    <w:rsid w:val="006D18C4"/>
    <w:pPr>
      <w:tabs>
        <w:tab w:val="left" w:pos="851"/>
      </w:tabs>
      <w:spacing w:before="120" w:after="120"/>
      <w:jc w:val="both"/>
      <w:outlineLvl w:val="6"/>
    </w:pPr>
    <w:rPr>
      <w:szCs w:val="20"/>
    </w:rPr>
  </w:style>
  <w:style w:type="character" w:styleId="Odkaznakoment">
    <w:name w:val="annotation reference"/>
    <w:uiPriority w:val="99"/>
    <w:semiHidden/>
    <w:unhideWhenUsed/>
    <w:rsid w:val="00CD460A"/>
    <w:rPr>
      <w:sz w:val="16"/>
      <w:szCs w:val="16"/>
    </w:rPr>
  </w:style>
  <w:style w:type="paragraph" w:styleId="Textkomente">
    <w:name w:val="annotation text"/>
    <w:basedOn w:val="Normln"/>
    <w:link w:val="TextkomenteChar"/>
    <w:uiPriority w:val="99"/>
    <w:unhideWhenUsed/>
    <w:rsid w:val="00CD460A"/>
    <w:rPr>
      <w:sz w:val="20"/>
      <w:szCs w:val="20"/>
    </w:rPr>
  </w:style>
  <w:style w:type="character" w:customStyle="1" w:styleId="TextkomenteChar">
    <w:name w:val="Text komentáře Char"/>
    <w:basedOn w:val="Standardnpsmoodstavce"/>
    <w:link w:val="Textkomente"/>
    <w:uiPriority w:val="99"/>
    <w:rsid w:val="00CD460A"/>
  </w:style>
  <w:style w:type="paragraph" w:styleId="Pedmtkomente">
    <w:name w:val="annotation subject"/>
    <w:basedOn w:val="Textkomente"/>
    <w:next w:val="Textkomente"/>
    <w:link w:val="PedmtkomenteChar"/>
    <w:uiPriority w:val="99"/>
    <w:semiHidden/>
    <w:unhideWhenUsed/>
    <w:rsid w:val="00CD460A"/>
    <w:rPr>
      <w:b/>
      <w:bCs/>
    </w:rPr>
  </w:style>
  <w:style w:type="character" w:customStyle="1" w:styleId="PedmtkomenteChar">
    <w:name w:val="Předmět komentáře Char"/>
    <w:link w:val="Pedmtkomente"/>
    <w:uiPriority w:val="99"/>
    <w:semiHidden/>
    <w:rsid w:val="00CD460A"/>
    <w:rPr>
      <w:b/>
      <w:bCs/>
    </w:rPr>
  </w:style>
  <w:style w:type="paragraph" w:styleId="Revize">
    <w:name w:val="Revision"/>
    <w:hidden/>
    <w:uiPriority w:val="99"/>
    <w:semiHidden/>
    <w:rsid w:val="00CD460A"/>
    <w:rPr>
      <w:sz w:val="24"/>
      <w:szCs w:val="24"/>
    </w:rPr>
  </w:style>
  <w:style w:type="paragraph" w:customStyle="1" w:styleId="title-doc-first">
    <w:name w:val="title-doc-first"/>
    <w:basedOn w:val="Normln"/>
    <w:rsid w:val="001B2F6B"/>
    <w:pPr>
      <w:spacing w:before="100" w:beforeAutospacing="1" w:after="100" w:afterAutospacing="1"/>
    </w:pPr>
  </w:style>
  <w:style w:type="paragraph" w:customStyle="1" w:styleId="title-doc-last">
    <w:name w:val="title-doc-last"/>
    <w:basedOn w:val="Normln"/>
    <w:rsid w:val="001B2F6B"/>
    <w:pPr>
      <w:spacing w:before="100" w:beforeAutospacing="1" w:after="100" w:afterAutospacing="1"/>
    </w:pPr>
  </w:style>
  <w:style w:type="character" w:styleId="Hypertextovodkaz">
    <w:name w:val="Hyperlink"/>
    <w:uiPriority w:val="99"/>
    <w:unhideWhenUsed/>
    <w:rsid w:val="001B2F6B"/>
    <w:rPr>
      <w:color w:val="0000FF"/>
      <w:u w:val="single"/>
    </w:rPr>
  </w:style>
  <w:style w:type="paragraph" w:styleId="Odstavecseseznamem">
    <w:name w:val="List Paragraph"/>
    <w:basedOn w:val="Normln"/>
    <w:uiPriority w:val="34"/>
    <w:qFormat/>
    <w:rsid w:val="00570287"/>
    <w:pPr>
      <w:spacing w:before="120" w:after="120" w:line="264" w:lineRule="auto"/>
      <w:ind w:left="720"/>
      <w:contextualSpacing/>
      <w:jc w:val="both"/>
    </w:pPr>
    <w:rPr>
      <w:rFonts w:ascii="Arial" w:eastAsia="MS Mincho" w:hAnsi="Arial"/>
      <w:lang w:eastAsia="en-US"/>
    </w:rPr>
  </w:style>
  <w:style w:type="paragraph" w:customStyle="1" w:styleId="Dvodovzprvaknovlnku">
    <w:name w:val="Důvodová zpráva (k nov. článku)"/>
    <w:basedOn w:val="Normln"/>
    <w:next w:val="Normln"/>
    <w:qFormat/>
    <w:rsid w:val="009315A2"/>
    <w:pPr>
      <w:keepNext/>
      <w:spacing w:before="120"/>
      <w:jc w:val="both"/>
      <w:outlineLvl w:val="0"/>
    </w:pPr>
    <w:rPr>
      <w:rFonts w:ascii="Arial" w:hAnsi="Arial"/>
      <w:b/>
      <w:color w:val="0000FF"/>
      <w:szCs w:val="20"/>
    </w:rPr>
  </w:style>
  <w:style w:type="paragraph" w:customStyle="1" w:styleId="Textlnku">
    <w:name w:val="Text článku"/>
    <w:basedOn w:val="Normln"/>
    <w:link w:val="TextlnkuChar"/>
    <w:rsid w:val="00521677"/>
    <w:pPr>
      <w:spacing w:before="240"/>
      <w:ind w:firstLine="425"/>
      <w:jc w:val="both"/>
      <w:outlineLvl w:val="5"/>
    </w:pPr>
    <w:rPr>
      <w:szCs w:val="20"/>
    </w:rPr>
  </w:style>
  <w:style w:type="character" w:customStyle="1" w:styleId="ZhlavChar">
    <w:name w:val="Záhlaví Char"/>
    <w:basedOn w:val="Standardnpsmoodstavce"/>
    <w:link w:val="Zhlav"/>
    <w:rsid w:val="00831CDA"/>
    <w:rPr>
      <w:sz w:val="24"/>
      <w:szCs w:val="24"/>
    </w:rPr>
  </w:style>
  <w:style w:type="paragraph" w:styleId="Textpoznpodarou">
    <w:name w:val="footnote text"/>
    <w:basedOn w:val="Normln"/>
    <w:link w:val="TextpoznpodarouChar"/>
    <w:rsid w:val="00444721"/>
    <w:rPr>
      <w:rFonts w:ascii="Arial" w:hAnsi="Arial"/>
      <w:sz w:val="20"/>
      <w:szCs w:val="20"/>
    </w:rPr>
  </w:style>
  <w:style w:type="character" w:customStyle="1" w:styleId="TextpoznpodarouChar">
    <w:name w:val="Text pozn. pod čarou Char"/>
    <w:basedOn w:val="Standardnpsmoodstavce"/>
    <w:link w:val="Textpoznpodarou"/>
    <w:rsid w:val="00444721"/>
    <w:rPr>
      <w:rFonts w:ascii="Arial" w:hAnsi="Arial"/>
    </w:rPr>
  </w:style>
  <w:style w:type="character" w:styleId="Znakapoznpodarou">
    <w:name w:val="footnote reference"/>
    <w:basedOn w:val="Standardnpsmoodstavce"/>
    <w:unhideWhenUsed/>
    <w:rsid w:val="00444721"/>
    <w:rPr>
      <w:vertAlign w:val="superscript"/>
    </w:rPr>
  </w:style>
  <w:style w:type="paragraph" w:customStyle="1" w:styleId="Ministerstvo">
    <w:name w:val="Ministerstvo"/>
    <w:basedOn w:val="Normln"/>
    <w:next w:val="Normln"/>
    <w:rsid w:val="006A59E4"/>
    <w:pPr>
      <w:keepNext/>
      <w:keepLines/>
      <w:spacing w:before="360" w:after="240"/>
      <w:jc w:val="both"/>
    </w:pPr>
    <w:rPr>
      <w:szCs w:val="20"/>
    </w:rPr>
  </w:style>
  <w:style w:type="character" w:customStyle="1" w:styleId="TextlnkuChar">
    <w:name w:val="Text článku Char"/>
    <w:link w:val="Textlnku"/>
    <w:rsid w:val="00043AC0"/>
    <w:rPr>
      <w:sz w:val="24"/>
    </w:rPr>
  </w:style>
  <w:style w:type="paragraph" w:styleId="Rozloendokumentu">
    <w:name w:val="Document Map"/>
    <w:basedOn w:val="Normln"/>
    <w:link w:val="RozloendokumentuChar"/>
    <w:uiPriority w:val="99"/>
    <w:semiHidden/>
    <w:unhideWhenUsed/>
    <w:rsid w:val="00426FFC"/>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426FFC"/>
    <w:rPr>
      <w:rFonts w:ascii="Tahoma" w:hAnsi="Tahoma" w:cs="Tahoma"/>
      <w:sz w:val="16"/>
      <w:szCs w:val="16"/>
    </w:rPr>
  </w:style>
  <w:style w:type="character" w:customStyle="1" w:styleId="ZkladntextChar">
    <w:name w:val="Základní text Char"/>
    <w:link w:val="Zkladntext"/>
    <w:rsid w:val="00980AFC"/>
    <w:rPr>
      <w:sz w:val="24"/>
    </w:rPr>
  </w:style>
  <w:style w:type="character" w:customStyle="1" w:styleId="NovelizanbodChar">
    <w:name w:val="Novelizační bod Char"/>
    <w:link w:val="Novelizanbod"/>
    <w:locked/>
    <w:rsid w:val="006E3DB8"/>
    <w:rPr>
      <w:sz w:val="24"/>
    </w:rPr>
  </w:style>
  <w:style w:type="paragraph" w:customStyle="1" w:styleId="Novelizanbod">
    <w:name w:val="Novelizační bod"/>
    <w:basedOn w:val="Normln"/>
    <w:next w:val="Normln"/>
    <w:link w:val="NovelizanbodChar"/>
    <w:qFormat/>
    <w:rsid w:val="006E3DB8"/>
    <w:pPr>
      <w:keepNext/>
      <w:keepLines/>
      <w:tabs>
        <w:tab w:val="left" w:pos="851"/>
      </w:tabs>
      <w:spacing w:before="480" w:after="120"/>
      <w:jc w:val="both"/>
    </w:pPr>
    <w:rPr>
      <w:szCs w:val="20"/>
    </w:rPr>
  </w:style>
  <w:style w:type="character" w:styleId="Sledovanodkaz">
    <w:name w:val="FollowedHyperlink"/>
    <w:basedOn w:val="Standardnpsmoodstavce"/>
    <w:uiPriority w:val="99"/>
    <w:semiHidden/>
    <w:unhideWhenUsed/>
    <w:rsid w:val="00C13100"/>
    <w:rPr>
      <w:color w:val="800080" w:themeColor="followedHyperlink"/>
      <w:u w:val="single"/>
    </w:rPr>
  </w:style>
  <w:style w:type="paragraph" w:customStyle="1" w:styleId="Default">
    <w:name w:val="Default"/>
    <w:rsid w:val="00771871"/>
    <w:pPr>
      <w:autoSpaceDE w:val="0"/>
      <w:autoSpaceDN w:val="0"/>
      <w:adjustRightInd w:val="0"/>
    </w:pPr>
    <w:rPr>
      <w:rFonts w:ascii="Arial" w:hAnsi="Arial" w:cs="Arial"/>
      <w:color w:val="000000"/>
      <w:sz w:val="24"/>
      <w:szCs w:val="24"/>
    </w:rPr>
  </w:style>
  <w:style w:type="paragraph" w:customStyle="1" w:styleId="Import1">
    <w:name w:val="Import 1"/>
    <w:basedOn w:val="Normln"/>
    <w:rsid w:val="00E17F43"/>
    <w:pPr>
      <w:spacing w:line="216" w:lineRule="auto"/>
      <w:ind w:left="432"/>
    </w:pPr>
    <w:rPr>
      <w:rFonts w:ascii="Courier New" w:eastAsiaTheme="minorHAnsi" w:hAnsi="Courier New" w:cs="Courier New"/>
    </w:rPr>
  </w:style>
  <w:style w:type="paragraph" w:customStyle="1" w:styleId="import10">
    <w:name w:val="import1"/>
    <w:basedOn w:val="Normln"/>
    <w:rsid w:val="00E17F43"/>
    <w:pPr>
      <w:spacing w:line="216" w:lineRule="auto"/>
      <w:ind w:left="432"/>
    </w:pPr>
    <w:rPr>
      <w:rFonts w:ascii="Courier New" w:eastAsiaTheme="minorHAnsi" w:hAnsi="Courier New" w:cs="Courier New"/>
    </w:rPr>
  </w:style>
  <w:style w:type="character" w:customStyle="1" w:styleId="Nadpis5Char">
    <w:name w:val="Nadpis 5 Char"/>
    <w:basedOn w:val="Standardnpsmoodstavce"/>
    <w:link w:val="Nadpis5"/>
    <w:uiPriority w:val="9"/>
    <w:semiHidden/>
    <w:rsid w:val="00DD7D9D"/>
    <w:rPr>
      <w:rFonts w:asciiTheme="majorHAnsi" w:eastAsiaTheme="majorEastAsia" w:hAnsiTheme="majorHAnsi" w:cstheme="majorBidi"/>
      <w:color w:val="365F91" w:themeColor="accent1" w:themeShade="BF"/>
      <w:sz w:val="24"/>
      <w:szCs w:val="24"/>
    </w:rPr>
  </w:style>
  <w:style w:type="paragraph" w:customStyle="1" w:styleId="DTlotextu1">
    <w:name w:val="D Tělo textu 1"/>
    <w:basedOn w:val="Normln"/>
    <w:uiPriority w:val="99"/>
    <w:qFormat/>
    <w:rsid w:val="00344DA6"/>
    <w:pPr>
      <w:spacing w:before="120" w:after="120"/>
      <w:jc w:val="both"/>
    </w:pPr>
  </w:style>
  <w:style w:type="character" w:customStyle="1" w:styleId="Nadpis4Char">
    <w:name w:val="Nadpis 4 Char"/>
    <w:basedOn w:val="Standardnpsmoodstavce"/>
    <w:link w:val="Nadpis4"/>
    <w:rsid w:val="00A05A40"/>
    <w:rPr>
      <w:b/>
      <w:bCs/>
      <w:color w:val="000000"/>
      <w:sz w:val="24"/>
      <w:szCs w:val="22"/>
    </w:rPr>
  </w:style>
  <w:style w:type="character" w:styleId="Siln">
    <w:name w:val="Strong"/>
    <w:basedOn w:val="Standardnpsmoodstavce"/>
    <w:uiPriority w:val="22"/>
    <w:qFormat/>
    <w:rsid w:val="0082315C"/>
    <w:rPr>
      <w:b/>
      <w:bCs/>
    </w:rPr>
  </w:style>
  <w:style w:type="paragraph" w:customStyle="1" w:styleId="Dvodovzprva">
    <w:name w:val="Důvodová zpráva"/>
    <w:basedOn w:val="Normln"/>
    <w:link w:val="DvodovzprvaChar"/>
    <w:uiPriority w:val="99"/>
    <w:qFormat/>
    <w:rsid w:val="00080508"/>
    <w:pPr>
      <w:spacing w:before="120"/>
      <w:jc w:val="both"/>
    </w:pPr>
    <w:rPr>
      <w:szCs w:val="20"/>
    </w:rPr>
  </w:style>
  <w:style w:type="character" w:styleId="slostrnky">
    <w:name w:val="page number"/>
    <w:basedOn w:val="Standardnpsmoodstavce"/>
    <w:semiHidden/>
    <w:rsid w:val="00080508"/>
  </w:style>
  <w:style w:type="character" w:customStyle="1" w:styleId="DvodovzprvaChar">
    <w:name w:val="Důvodová zpráva Char"/>
    <w:link w:val="Dvodovzprva"/>
    <w:uiPriority w:val="99"/>
    <w:locked/>
    <w:rsid w:val="00080508"/>
    <w:rPr>
      <w:sz w:val="24"/>
    </w:rPr>
  </w:style>
  <w:style w:type="paragraph" w:customStyle="1" w:styleId="Dvodovzprvaksti">
    <w:name w:val="Důvodová zpráva (k části)"/>
    <w:basedOn w:val="Dvodovzprva"/>
    <w:next w:val="Dvodovzprva"/>
    <w:qFormat/>
    <w:rsid w:val="00080508"/>
    <w:pPr>
      <w:keepNext/>
    </w:pPr>
    <w:rPr>
      <w:b/>
      <w:sz w:val="28"/>
    </w:rPr>
  </w:style>
  <w:style w:type="paragraph" w:customStyle="1" w:styleId="Dvodovzprvaklnku">
    <w:name w:val="Důvodová zpráva (k článku)"/>
    <w:basedOn w:val="Dvodovzprva"/>
    <w:next w:val="Dvodovzprva"/>
    <w:qFormat/>
    <w:rsid w:val="00080508"/>
    <w:pPr>
      <w:keepNext/>
    </w:pPr>
    <w:rPr>
      <w:b/>
    </w:rPr>
  </w:style>
  <w:style w:type="paragraph" w:customStyle="1" w:styleId="Dvodovzprvakparagrafu">
    <w:name w:val="Důvodová zpráva (k paragrafu)"/>
    <w:basedOn w:val="Dvodovzprva"/>
    <w:next w:val="Dvodovzprva"/>
    <w:qFormat/>
    <w:rsid w:val="00080508"/>
    <w:pPr>
      <w:keepNext/>
    </w:pPr>
    <w:rPr>
      <w:b/>
    </w:rPr>
  </w:style>
  <w:style w:type="character" w:customStyle="1" w:styleId="normaltextrun">
    <w:name w:val="normaltextrun"/>
    <w:basedOn w:val="Standardnpsmoodstavce"/>
    <w:rsid w:val="00080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9037">
      <w:bodyDiv w:val="1"/>
      <w:marLeft w:val="0"/>
      <w:marRight w:val="0"/>
      <w:marTop w:val="0"/>
      <w:marBottom w:val="0"/>
      <w:divBdr>
        <w:top w:val="none" w:sz="0" w:space="0" w:color="auto"/>
        <w:left w:val="none" w:sz="0" w:space="0" w:color="auto"/>
        <w:bottom w:val="none" w:sz="0" w:space="0" w:color="auto"/>
        <w:right w:val="none" w:sz="0" w:space="0" w:color="auto"/>
      </w:divBdr>
    </w:div>
    <w:div w:id="251739594">
      <w:bodyDiv w:val="1"/>
      <w:marLeft w:val="0"/>
      <w:marRight w:val="0"/>
      <w:marTop w:val="0"/>
      <w:marBottom w:val="0"/>
      <w:divBdr>
        <w:top w:val="none" w:sz="0" w:space="0" w:color="auto"/>
        <w:left w:val="none" w:sz="0" w:space="0" w:color="auto"/>
        <w:bottom w:val="none" w:sz="0" w:space="0" w:color="auto"/>
        <w:right w:val="none" w:sz="0" w:space="0" w:color="auto"/>
      </w:divBdr>
    </w:div>
    <w:div w:id="339431845">
      <w:bodyDiv w:val="1"/>
      <w:marLeft w:val="0"/>
      <w:marRight w:val="0"/>
      <w:marTop w:val="0"/>
      <w:marBottom w:val="0"/>
      <w:divBdr>
        <w:top w:val="none" w:sz="0" w:space="0" w:color="auto"/>
        <w:left w:val="none" w:sz="0" w:space="0" w:color="auto"/>
        <w:bottom w:val="none" w:sz="0" w:space="0" w:color="auto"/>
        <w:right w:val="none" w:sz="0" w:space="0" w:color="auto"/>
      </w:divBdr>
    </w:div>
    <w:div w:id="353262770">
      <w:bodyDiv w:val="1"/>
      <w:marLeft w:val="0"/>
      <w:marRight w:val="0"/>
      <w:marTop w:val="0"/>
      <w:marBottom w:val="0"/>
      <w:divBdr>
        <w:top w:val="none" w:sz="0" w:space="0" w:color="auto"/>
        <w:left w:val="none" w:sz="0" w:space="0" w:color="auto"/>
        <w:bottom w:val="none" w:sz="0" w:space="0" w:color="auto"/>
        <w:right w:val="none" w:sz="0" w:space="0" w:color="auto"/>
      </w:divBdr>
    </w:div>
    <w:div w:id="353583272">
      <w:bodyDiv w:val="1"/>
      <w:marLeft w:val="0"/>
      <w:marRight w:val="0"/>
      <w:marTop w:val="0"/>
      <w:marBottom w:val="0"/>
      <w:divBdr>
        <w:top w:val="none" w:sz="0" w:space="0" w:color="auto"/>
        <w:left w:val="none" w:sz="0" w:space="0" w:color="auto"/>
        <w:bottom w:val="none" w:sz="0" w:space="0" w:color="auto"/>
        <w:right w:val="none" w:sz="0" w:space="0" w:color="auto"/>
      </w:divBdr>
    </w:div>
    <w:div w:id="397173660">
      <w:bodyDiv w:val="1"/>
      <w:marLeft w:val="0"/>
      <w:marRight w:val="0"/>
      <w:marTop w:val="0"/>
      <w:marBottom w:val="0"/>
      <w:divBdr>
        <w:top w:val="none" w:sz="0" w:space="0" w:color="auto"/>
        <w:left w:val="none" w:sz="0" w:space="0" w:color="auto"/>
        <w:bottom w:val="none" w:sz="0" w:space="0" w:color="auto"/>
        <w:right w:val="none" w:sz="0" w:space="0" w:color="auto"/>
      </w:divBdr>
    </w:div>
    <w:div w:id="444153807">
      <w:bodyDiv w:val="1"/>
      <w:marLeft w:val="0"/>
      <w:marRight w:val="0"/>
      <w:marTop w:val="0"/>
      <w:marBottom w:val="0"/>
      <w:divBdr>
        <w:top w:val="none" w:sz="0" w:space="0" w:color="auto"/>
        <w:left w:val="none" w:sz="0" w:space="0" w:color="auto"/>
        <w:bottom w:val="none" w:sz="0" w:space="0" w:color="auto"/>
        <w:right w:val="none" w:sz="0" w:space="0" w:color="auto"/>
      </w:divBdr>
    </w:div>
    <w:div w:id="550700368">
      <w:bodyDiv w:val="1"/>
      <w:marLeft w:val="0"/>
      <w:marRight w:val="0"/>
      <w:marTop w:val="0"/>
      <w:marBottom w:val="0"/>
      <w:divBdr>
        <w:top w:val="none" w:sz="0" w:space="0" w:color="auto"/>
        <w:left w:val="none" w:sz="0" w:space="0" w:color="auto"/>
        <w:bottom w:val="none" w:sz="0" w:space="0" w:color="auto"/>
        <w:right w:val="none" w:sz="0" w:space="0" w:color="auto"/>
      </w:divBdr>
    </w:div>
    <w:div w:id="555167333">
      <w:bodyDiv w:val="1"/>
      <w:marLeft w:val="0"/>
      <w:marRight w:val="0"/>
      <w:marTop w:val="0"/>
      <w:marBottom w:val="0"/>
      <w:divBdr>
        <w:top w:val="none" w:sz="0" w:space="0" w:color="auto"/>
        <w:left w:val="none" w:sz="0" w:space="0" w:color="auto"/>
        <w:bottom w:val="none" w:sz="0" w:space="0" w:color="auto"/>
        <w:right w:val="none" w:sz="0" w:space="0" w:color="auto"/>
      </w:divBdr>
    </w:div>
    <w:div w:id="584266176">
      <w:bodyDiv w:val="1"/>
      <w:marLeft w:val="0"/>
      <w:marRight w:val="0"/>
      <w:marTop w:val="0"/>
      <w:marBottom w:val="0"/>
      <w:divBdr>
        <w:top w:val="none" w:sz="0" w:space="0" w:color="auto"/>
        <w:left w:val="none" w:sz="0" w:space="0" w:color="auto"/>
        <w:bottom w:val="none" w:sz="0" w:space="0" w:color="auto"/>
        <w:right w:val="none" w:sz="0" w:space="0" w:color="auto"/>
      </w:divBdr>
    </w:div>
    <w:div w:id="754740914">
      <w:bodyDiv w:val="1"/>
      <w:marLeft w:val="0"/>
      <w:marRight w:val="0"/>
      <w:marTop w:val="0"/>
      <w:marBottom w:val="0"/>
      <w:divBdr>
        <w:top w:val="none" w:sz="0" w:space="0" w:color="auto"/>
        <w:left w:val="none" w:sz="0" w:space="0" w:color="auto"/>
        <w:bottom w:val="none" w:sz="0" w:space="0" w:color="auto"/>
        <w:right w:val="none" w:sz="0" w:space="0" w:color="auto"/>
      </w:divBdr>
    </w:div>
    <w:div w:id="755636639">
      <w:bodyDiv w:val="1"/>
      <w:marLeft w:val="0"/>
      <w:marRight w:val="0"/>
      <w:marTop w:val="0"/>
      <w:marBottom w:val="0"/>
      <w:divBdr>
        <w:top w:val="none" w:sz="0" w:space="0" w:color="auto"/>
        <w:left w:val="none" w:sz="0" w:space="0" w:color="auto"/>
        <w:bottom w:val="none" w:sz="0" w:space="0" w:color="auto"/>
        <w:right w:val="none" w:sz="0" w:space="0" w:color="auto"/>
      </w:divBdr>
    </w:div>
    <w:div w:id="796026470">
      <w:bodyDiv w:val="1"/>
      <w:marLeft w:val="0"/>
      <w:marRight w:val="0"/>
      <w:marTop w:val="0"/>
      <w:marBottom w:val="0"/>
      <w:divBdr>
        <w:top w:val="none" w:sz="0" w:space="0" w:color="auto"/>
        <w:left w:val="none" w:sz="0" w:space="0" w:color="auto"/>
        <w:bottom w:val="none" w:sz="0" w:space="0" w:color="auto"/>
        <w:right w:val="none" w:sz="0" w:space="0" w:color="auto"/>
      </w:divBdr>
      <w:divsChild>
        <w:div w:id="284310974">
          <w:marLeft w:val="576"/>
          <w:marRight w:val="0"/>
          <w:marTop w:val="120"/>
          <w:marBottom w:val="0"/>
          <w:divBdr>
            <w:top w:val="none" w:sz="0" w:space="0" w:color="auto"/>
            <w:left w:val="none" w:sz="0" w:space="0" w:color="auto"/>
            <w:bottom w:val="none" w:sz="0" w:space="0" w:color="auto"/>
            <w:right w:val="none" w:sz="0" w:space="0" w:color="auto"/>
          </w:divBdr>
        </w:div>
      </w:divsChild>
    </w:div>
    <w:div w:id="829904202">
      <w:bodyDiv w:val="1"/>
      <w:marLeft w:val="0"/>
      <w:marRight w:val="0"/>
      <w:marTop w:val="0"/>
      <w:marBottom w:val="0"/>
      <w:divBdr>
        <w:top w:val="none" w:sz="0" w:space="0" w:color="auto"/>
        <w:left w:val="none" w:sz="0" w:space="0" w:color="auto"/>
        <w:bottom w:val="none" w:sz="0" w:space="0" w:color="auto"/>
        <w:right w:val="none" w:sz="0" w:space="0" w:color="auto"/>
      </w:divBdr>
    </w:div>
    <w:div w:id="1016268086">
      <w:bodyDiv w:val="1"/>
      <w:marLeft w:val="0"/>
      <w:marRight w:val="0"/>
      <w:marTop w:val="0"/>
      <w:marBottom w:val="0"/>
      <w:divBdr>
        <w:top w:val="none" w:sz="0" w:space="0" w:color="auto"/>
        <w:left w:val="none" w:sz="0" w:space="0" w:color="auto"/>
        <w:bottom w:val="none" w:sz="0" w:space="0" w:color="auto"/>
        <w:right w:val="none" w:sz="0" w:space="0" w:color="auto"/>
      </w:divBdr>
    </w:div>
    <w:div w:id="1025406058">
      <w:bodyDiv w:val="1"/>
      <w:marLeft w:val="0"/>
      <w:marRight w:val="0"/>
      <w:marTop w:val="0"/>
      <w:marBottom w:val="0"/>
      <w:divBdr>
        <w:top w:val="none" w:sz="0" w:space="0" w:color="auto"/>
        <w:left w:val="none" w:sz="0" w:space="0" w:color="auto"/>
        <w:bottom w:val="none" w:sz="0" w:space="0" w:color="auto"/>
        <w:right w:val="none" w:sz="0" w:space="0" w:color="auto"/>
      </w:divBdr>
    </w:div>
    <w:div w:id="1032801257">
      <w:bodyDiv w:val="1"/>
      <w:marLeft w:val="0"/>
      <w:marRight w:val="0"/>
      <w:marTop w:val="0"/>
      <w:marBottom w:val="0"/>
      <w:divBdr>
        <w:top w:val="none" w:sz="0" w:space="0" w:color="auto"/>
        <w:left w:val="none" w:sz="0" w:space="0" w:color="auto"/>
        <w:bottom w:val="none" w:sz="0" w:space="0" w:color="auto"/>
        <w:right w:val="none" w:sz="0" w:space="0" w:color="auto"/>
      </w:divBdr>
    </w:div>
    <w:div w:id="1036927213">
      <w:bodyDiv w:val="1"/>
      <w:marLeft w:val="0"/>
      <w:marRight w:val="0"/>
      <w:marTop w:val="0"/>
      <w:marBottom w:val="0"/>
      <w:divBdr>
        <w:top w:val="none" w:sz="0" w:space="0" w:color="auto"/>
        <w:left w:val="none" w:sz="0" w:space="0" w:color="auto"/>
        <w:bottom w:val="none" w:sz="0" w:space="0" w:color="auto"/>
        <w:right w:val="none" w:sz="0" w:space="0" w:color="auto"/>
      </w:divBdr>
    </w:div>
    <w:div w:id="1100952678">
      <w:bodyDiv w:val="1"/>
      <w:marLeft w:val="0"/>
      <w:marRight w:val="0"/>
      <w:marTop w:val="0"/>
      <w:marBottom w:val="0"/>
      <w:divBdr>
        <w:top w:val="none" w:sz="0" w:space="0" w:color="auto"/>
        <w:left w:val="none" w:sz="0" w:space="0" w:color="auto"/>
        <w:bottom w:val="none" w:sz="0" w:space="0" w:color="auto"/>
        <w:right w:val="none" w:sz="0" w:space="0" w:color="auto"/>
      </w:divBdr>
    </w:div>
    <w:div w:id="1167286073">
      <w:bodyDiv w:val="1"/>
      <w:marLeft w:val="0"/>
      <w:marRight w:val="0"/>
      <w:marTop w:val="0"/>
      <w:marBottom w:val="0"/>
      <w:divBdr>
        <w:top w:val="none" w:sz="0" w:space="0" w:color="auto"/>
        <w:left w:val="none" w:sz="0" w:space="0" w:color="auto"/>
        <w:bottom w:val="none" w:sz="0" w:space="0" w:color="auto"/>
        <w:right w:val="none" w:sz="0" w:space="0" w:color="auto"/>
      </w:divBdr>
    </w:div>
    <w:div w:id="1191071775">
      <w:bodyDiv w:val="1"/>
      <w:marLeft w:val="0"/>
      <w:marRight w:val="0"/>
      <w:marTop w:val="0"/>
      <w:marBottom w:val="0"/>
      <w:divBdr>
        <w:top w:val="none" w:sz="0" w:space="0" w:color="auto"/>
        <w:left w:val="none" w:sz="0" w:space="0" w:color="auto"/>
        <w:bottom w:val="none" w:sz="0" w:space="0" w:color="auto"/>
        <w:right w:val="none" w:sz="0" w:space="0" w:color="auto"/>
      </w:divBdr>
    </w:div>
    <w:div w:id="1222980483">
      <w:bodyDiv w:val="1"/>
      <w:marLeft w:val="0"/>
      <w:marRight w:val="0"/>
      <w:marTop w:val="0"/>
      <w:marBottom w:val="0"/>
      <w:divBdr>
        <w:top w:val="none" w:sz="0" w:space="0" w:color="auto"/>
        <w:left w:val="none" w:sz="0" w:space="0" w:color="auto"/>
        <w:bottom w:val="none" w:sz="0" w:space="0" w:color="auto"/>
        <w:right w:val="none" w:sz="0" w:space="0" w:color="auto"/>
      </w:divBdr>
    </w:div>
    <w:div w:id="1240679840">
      <w:bodyDiv w:val="1"/>
      <w:marLeft w:val="0"/>
      <w:marRight w:val="0"/>
      <w:marTop w:val="0"/>
      <w:marBottom w:val="0"/>
      <w:divBdr>
        <w:top w:val="none" w:sz="0" w:space="0" w:color="auto"/>
        <w:left w:val="none" w:sz="0" w:space="0" w:color="auto"/>
        <w:bottom w:val="none" w:sz="0" w:space="0" w:color="auto"/>
        <w:right w:val="none" w:sz="0" w:space="0" w:color="auto"/>
      </w:divBdr>
    </w:div>
    <w:div w:id="1356226853">
      <w:bodyDiv w:val="1"/>
      <w:marLeft w:val="0"/>
      <w:marRight w:val="0"/>
      <w:marTop w:val="0"/>
      <w:marBottom w:val="0"/>
      <w:divBdr>
        <w:top w:val="none" w:sz="0" w:space="0" w:color="auto"/>
        <w:left w:val="none" w:sz="0" w:space="0" w:color="auto"/>
        <w:bottom w:val="none" w:sz="0" w:space="0" w:color="auto"/>
        <w:right w:val="none" w:sz="0" w:space="0" w:color="auto"/>
      </w:divBdr>
    </w:div>
    <w:div w:id="1397390875">
      <w:bodyDiv w:val="1"/>
      <w:marLeft w:val="0"/>
      <w:marRight w:val="0"/>
      <w:marTop w:val="0"/>
      <w:marBottom w:val="0"/>
      <w:divBdr>
        <w:top w:val="none" w:sz="0" w:space="0" w:color="auto"/>
        <w:left w:val="none" w:sz="0" w:space="0" w:color="auto"/>
        <w:bottom w:val="none" w:sz="0" w:space="0" w:color="auto"/>
        <w:right w:val="none" w:sz="0" w:space="0" w:color="auto"/>
      </w:divBdr>
    </w:div>
    <w:div w:id="1409420231">
      <w:bodyDiv w:val="1"/>
      <w:marLeft w:val="0"/>
      <w:marRight w:val="0"/>
      <w:marTop w:val="0"/>
      <w:marBottom w:val="0"/>
      <w:divBdr>
        <w:top w:val="none" w:sz="0" w:space="0" w:color="auto"/>
        <w:left w:val="none" w:sz="0" w:space="0" w:color="auto"/>
        <w:bottom w:val="none" w:sz="0" w:space="0" w:color="auto"/>
        <w:right w:val="none" w:sz="0" w:space="0" w:color="auto"/>
      </w:divBdr>
    </w:div>
    <w:div w:id="1410273791">
      <w:bodyDiv w:val="1"/>
      <w:marLeft w:val="0"/>
      <w:marRight w:val="0"/>
      <w:marTop w:val="0"/>
      <w:marBottom w:val="0"/>
      <w:divBdr>
        <w:top w:val="none" w:sz="0" w:space="0" w:color="auto"/>
        <w:left w:val="none" w:sz="0" w:space="0" w:color="auto"/>
        <w:bottom w:val="none" w:sz="0" w:space="0" w:color="auto"/>
        <w:right w:val="none" w:sz="0" w:space="0" w:color="auto"/>
      </w:divBdr>
    </w:div>
    <w:div w:id="1530679299">
      <w:bodyDiv w:val="1"/>
      <w:marLeft w:val="0"/>
      <w:marRight w:val="0"/>
      <w:marTop w:val="0"/>
      <w:marBottom w:val="0"/>
      <w:divBdr>
        <w:top w:val="none" w:sz="0" w:space="0" w:color="auto"/>
        <w:left w:val="none" w:sz="0" w:space="0" w:color="auto"/>
        <w:bottom w:val="none" w:sz="0" w:space="0" w:color="auto"/>
        <w:right w:val="none" w:sz="0" w:space="0" w:color="auto"/>
      </w:divBdr>
    </w:div>
    <w:div w:id="1571381406">
      <w:bodyDiv w:val="1"/>
      <w:marLeft w:val="0"/>
      <w:marRight w:val="0"/>
      <w:marTop w:val="0"/>
      <w:marBottom w:val="0"/>
      <w:divBdr>
        <w:top w:val="none" w:sz="0" w:space="0" w:color="auto"/>
        <w:left w:val="none" w:sz="0" w:space="0" w:color="auto"/>
        <w:bottom w:val="none" w:sz="0" w:space="0" w:color="auto"/>
        <w:right w:val="none" w:sz="0" w:space="0" w:color="auto"/>
      </w:divBdr>
    </w:div>
    <w:div w:id="1577130034">
      <w:bodyDiv w:val="1"/>
      <w:marLeft w:val="0"/>
      <w:marRight w:val="0"/>
      <w:marTop w:val="0"/>
      <w:marBottom w:val="0"/>
      <w:divBdr>
        <w:top w:val="none" w:sz="0" w:space="0" w:color="auto"/>
        <w:left w:val="none" w:sz="0" w:space="0" w:color="auto"/>
        <w:bottom w:val="none" w:sz="0" w:space="0" w:color="auto"/>
        <w:right w:val="none" w:sz="0" w:space="0" w:color="auto"/>
      </w:divBdr>
    </w:div>
    <w:div w:id="1579708914">
      <w:bodyDiv w:val="1"/>
      <w:marLeft w:val="0"/>
      <w:marRight w:val="0"/>
      <w:marTop w:val="0"/>
      <w:marBottom w:val="0"/>
      <w:divBdr>
        <w:top w:val="none" w:sz="0" w:space="0" w:color="auto"/>
        <w:left w:val="none" w:sz="0" w:space="0" w:color="auto"/>
        <w:bottom w:val="none" w:sz="0" w:space="0" w:color="auto"/>
        <w:right w:val="none" w:sz="0" w:space="0" w:color="auto"/>
      </w:divBdr>
    </w:div>
    <w:div w:id="1587425160">
      <w:bodyDiv w:val="1"/>
      <w:marLeft w:val="0"/>
      <w:marRight w:val="0"/>
      <w:marTop w:val="0"/>
      <w:marBottom w:val="0"/>
      <w:divBdr>
        <w:top w:val="none" w:sz="0" w:space="0" w:color="auto"/>
        <w:left w:val="none" w:sz="0" w:space="0" w:color="auto"/>
        <w:bottom w:val="none" w:sz="0" w:space="0" w:color="auto"/>
        <w:right w:val="none" w:sz="0" w:space="0" w:color="auto"/>
      </w:divBdr>
    </w:div>
    <w:div w:id="1591740563">
      <w:bodyDiv w:val="1"/>
      <w:marLeft w:val="0"/>
      <w:marRight w:val="0"/>
      <w:marTop w:val="0"/>
      <w:marBottom w:val="0"/>
      <w:divBdr>
        <w:top w:val="none" w:sz="0" w:space="0" w:color="auto"/>
        <w:left w:val="none" w:sz="0" w:space="0" w:color="auto"/>
        <w:bottom w:val="none" w:sz="0" w:space="0" w:color="auto"/>
        <w:right w:val="none" w:sz="0" w:space="0" w:color="auto"/>
      </w:divBdr>
    </w:div>
    <w:div w:id="1733310666">
      <w:bodyDiv w:val="1"/>
      <w:marLeft w:val="0"/>
      <w:marRight w:val="0"/>
      <w:marTop w:val="0"/>
      <w:marBottom w:val="0"/>
      <w:divBdr>
        <w:top w:val="none" w:sz="0" w:space="0" w:color="auto"/>
        <w:left w:val="none" w:sz="0" w:space="0" w:color="auto"/>
        <w:bottom w:val="none" w:sz="0" w:space="0" w:color="auto"/>
        <w:right w:val="none" w:sz="0" w:space="0" w:color="auto"/>
      </w:divBdr>
    </w:div>
    <w:div w:id="1795442731">
      <w:bodyDiv w:val="1"/>
      <w:marLeft w:val="0"/>
      <w:marRight w:val="0"/>
      <w:marTop w:val="0"/>
      <w:marBottom w:val="0"/>
      <w:divBdr>
        <w:top w:val="none" w:sz="0" w:space="0" w:color="auto"/>
        <w:left w:val="none" w:sz="0" w:space="0" w:color="auto"/>
        <w:bottom w:val="none" w:sz="0" w:space="0" w:color="auto"/>
        <w:right w:val="none" w:sz="0" w:space="0" w:color="auto"/>
      </w:divBdr>
    </w:div>
    <w:div w:id="1916236098">
      <w:bodyDiv w:val="1"/>
      <w:marLeft w:val="0"/>
      <w:marRight w:val="0"/>
      <w:marTop w:val="0"/>
      <w:marBottom w:val="0"/>
      <w:divBdr>
        <w:top w:val="none" w:sz="0" w:space="0" w:color="auto"/>
        <w:left w:val="none" w:sz="0" w:space="0" w:color="auto"/>
        <w:bottom w:val="none" w:sz="0" w:space="0" w:color="auto"/>
        <w:right w:val="none" w:sz="0" w:space="0" w:color="auto"/>
      </w:divBdr>
    </w:div>
    <w:div w:id="1995142443">
      <w:bodyDiv w:val="1"/>
      <w:marLeft w:val="0"/>
      <w:marRight w:val="0"/>
      <w:marTop w:val="0"/>
      <w:marBottom w:val="0"/>
      <w:divBdr>
        <w:top w:val="none" w:sz="0" w:space="0" w:color="auto"/>
        <w:left w:val="none" w:sz="0" w:space="0" w:color="auto"/>
        <w:bottom w:val="none" w:sz="0" w:space="0" w:color="auto"/>
        <w:right w:val="none" w:sz="0" w:space="0" w:color="auto"/>
      </w:divBdr>
    </w:div>
    <w:div w:id="2043282240">
      <w:bodyDiv w:val="1"/>
      <w:marLeft w:val="0"/>
      <w:marRight w:val="0"/>
      <w:marTop w:val="0"/>
      <w:marBottom w:val="0"/>
      <w:divBdr>
        <w:top w:val="none" w:sz="0" w:space="0" w:color="auto"/>
        <w:left w:val="none" w:sz="0" w:space="0" w:color="auto"/>
        <w:bottom w:val="none" w:sz="0" w:space="0" w:color="auto"/>
        <w:right w:val="none" w:sz="0" w:space="0" w:color="auto"/>
      </w:divBdr>
    </w:div>
    <w:div w:id="2092652558">
      <w:bodyDiv w:val="1"/>
      <w:marLeft w:val="0"/>
      <w:marRight w:val="0"/>
      <w:marTop w:val="0"/>
      <w:marBottom w:val="0"/>
      <w:divBdr>
        <w:top w:val="none" w:sz="0" w:space="0" w:color="auto"/>
        <w:left w:val="none" w:sz="0" w:space="0" w:color="auto"/>
        <w:bottom w:val="none" w:sz="0" w:space="0" w:color="auto"/>
        <w:right w:val="none" w:sz="0" w:space="0" w:color="auto"/>
      </w:divBdr>
    </w:div>
    <w:div w:id="2093156871">
      <w:bodyDiv w:val="1"/>
      <w:marLeft w:val="0"/>
      <w:marRight w:val="0"/>
      <w:marTop w:val="0"/>
      <w:marBottom w:val="0"/>
      <w:divBdr>
        <w:top w:val="none" w:sz="0" w:space="0" w:color="auto"/>
        <w:left w:val="none" w:sz="0" w:space="0" w:color="auto"/>
        <w:bottom w:val="none" w:sz="0" w:space="0" w:color="auto"/>
        <w:right w:val="none" w:sz="0" w:space="0" w:color="auto"/>
      </w:divBdr>
      <w:divsChild>
        <w:div w:id="2140996261">
          <w:marLeft w:val="1166"/>
          <w:marRight w:val="0"/>
          <w:marTop w:val="77"/>
          <w:marBottom w:val="120"/>
          <w:divBdr>
            <w:top w:val="none" w:sz="0" w:space="0" w:color="auto"/>
            <w:left w:val="none" w:sz="0" w:space="0" w:color="auto"/>
            <w:bottom w:val="none" w:sz="0" w:space="0" w:color="auto"/>
            <w:right w:val="none" w:sz="0" w:space="0" w:color="auto"/>
          </w:divBdr>
        </w:div>
      </w:divsChild>
    </w:div>
    <w:div w:id="2095080649">
      <w:bodyDiv w:val="1"/>
      <w:marLeft w:val="0"/>
      <w:marRight w:val="0"/>
      <w:marTop w:val="0"/>
      <w:marBottom w:val="0"/>
      <w:divBdr>
        <w:top w:val="none" w:sz="0" w:space="0" w:color="auto"/>
        <w:left w:val="none" w:sz="0" w:space="0" w:color="auto"/>
        <w:bottom w:val="none" w:sz="0" w:space="0" w:color="auto"/>
        <w:right w:val="none" w:sz="0" w:space="0" w:color="auto"/>
      </w:divBdr>
    </w:div>
    <w:div w:id="2099255499">
      <w:bodyDiv w:val="1"/>
      <w:marLeft w:val="0"/>
      <w:marRight w:val="0"/>
      <w:marTop w:val="0"/>
      <w:marBottom w:val="0"/>
      <w:divBdr>
        <w:top w:val="none" w:sz="0" w:space="0" w:color="auto"/>
        <w:left w:val="none" w:sz="0" w:space="0" w:color="auto"/>
        <w:bottom w:val="none" w:sz="0" w:space="0" w:color="auto"/>
        <w:right w:val="none" w:sz="0" w:space="0" w:color="auto"/>
      </w:divBdr>
    </w:div>
    <w:div w:id="214626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oecd.org/en/publications/2025/01/globe-information-return-pillar-two-xml-schema_3980638f.html" TargetMode="External"/><Relationship Id="rId1" Type="http://schemas.openxmlformats.org/officeDocument/2006/relationships/hyperlink" Target="https://www.oecd.org/en/publications/globe-information-return-pillar-two-xml-schema_c594935a-en/support-materials.html"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813719CD9D0904FBF532A93E59AD3B1" ma:contentTypeVersion="6" ma:contentTypeDescription="Vytvoří nový dokument" ma:contentTypeScope="" ma:versionID="f7f97c6efd495b516a0924c4a221e76f">
  <xsd:schema xmlns:xsd="http://www.w3.org/2001/XMLSchema" xmlns:xs="http://www.w3.org/2001/XMLSchema" xmlns:p="http://schemas.microsoft.com/office/2006/metadata/properties" xmlns:ns2="3f6dce20-f459-43b2-9881-54dab893ba36" xmlns:ns3="12b5b2e2-4a67-4b8e-9910-329339df1d91" targetNamespace="http://schemas.microsoft.com/office/2006/metadata/properties" ma:root="true" ma:fieldsID="edafe5acf18eec6c9f014dfd8402a136" ns2:_="" ns3:_="">
    <xsd:import namespace="3f6dce20-f459-43b2-9881-54dab893ba36"/>
    <xsd:import namespace="12b5b2e2-4a67-4b8e-9910-329339df1d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dce20-f459-43b2-9881-54dab893ba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b5b2e2-4a67-4b8e-9910-329339df1d91"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CBC4A-7CF9-4257-A537-EBBEFEA42EC0}">
  <ds:schemaRefs>
    <ds:schemaRef ds:uri="http://schemas.openxmlformats.org/officeDocument/2006/bibliography"/>
  </ds:schemaRefs>
</ds:datastoreItem>
</file>

<file path=customXml/itemProps2.xml><?xml version="1.0" encoding="utf-8"?>
<ds:datastoreItem xmlns:ds="http://schemas.openxmlformats.org/officeDocument/2006/customXml" ds:itemID="{0A79AFC8-1E8E-40E3-906D-1A71020AF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dce20-f459-43b2-9881-54dab893ba36"/>
    <ds:schemaRef ds:uri="12b5b2e2-4a67-4b8e-9910-329339df1d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6CFC86-8CE9-46B5-89FB-5792DEE0C42D}">
  <ds:schemaRefs>
    <ds:schemaRef ds:uri="http://schemas.microsoft.com/sharepoint/v3/contenttype/forms"/>
  </ds:schemaRefs>
</ds:datastoreItem>
</file>

<file path=customXml/itemProps4.xml><?xml version="1.0" encoding="utf-8"?>
<ds:datastoreItem xmlns:ds="http://schemas.openxmlformats.org/officeDocument/2006/customXml" ds:itemID="{A121E1F3-C5D1-413E-AF8D-3291A380E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10820</Words>
  <Characters>63840</Characters>
  <Application>Microsoft Office Word</Application>
  <DocSecurity>0</DocSecurity>
  <Lines>532</Lines>
  <Paragraphs>149</Paragraphs>
  <ScaleCrop>false</ScaleCrop>
  <HeadingPairs>
    <vt:vector size="2" baseType="variant">
      <vt:variant>
        <vt:lpstr>Název</vt:lpstr>
      </vt:variant>
      <vt:variant>
        <vt:i4>1</vt:i4>
      </vt:variant>
    </vt:vector>
  </HeadingPairs>
  <TitlesOfParts>
    <vt:vector size="1" baseType="lpstr">
      <vt:lpstr>ODŮVODNĚNÍ</vt:lpstr>
    </vt:vector>
  </TitlesOfParts>
  <Company>CELNÍ ŘEDITELSTVÍ</Company>
  <LinksUpToDate>false</LinksUpToDate>
  <CharactersWithSpaces>74511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ODŮVODNĚNÍ</dc:title>
  <dc:creator>test</dc:creator>
  <cp:lastModifiedBy>Kočvar Jan Ph.D. PhDr. Mgr.</cp:lastModifiedBy>
  <cp:revision>2</cp:revision>
  <cp:lastPrinted>2018-07-27T08:19:00Z</cp:lastPrinted>
  <dcterms:created xsi:type="dcterms:W3CDTF">2025-06-18T11:12:00Z</dcterms:created>
  <dcterms:modified xsi:type="dcterms:W3CDTF">2025-06-18T11:12:00Z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0x0101000813719CD9D0904FBF532A93E59AD3B1</vt:lpwstr>
  </property>
  <property fmtid="{D5CDD505-2E9C-101B-9397-08002B2CF9AE}" pid="3" name="MediaServiceImageTags">
    <vt:lpwstr/>
  </property>
</Properties>
</file>