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95EB" w14:textId="77777777" w:rsidR="00366307" w:rsidRPr="00C167B7" w:rsidRDefault="00366307">
      <w:pPr>
        <w:pStyle w:val="Nzev"/>
        <w:rPr>
          <w:b/>
          <w:sz w:val="24"/>
        </w:rPr>
      </w:pPr>
      <w:r w:rsidRPr="00C167B7">
        <w:rPr>
          <w:b/>
          <w:sz w:val="24"/>
        </w:rPr>
        <w:t>Rozdílová tabulka návrhu předpisu ČR s</w:t>
      </w:r>
      <w:r w:rsidR="00D247E5" w:rsidRPr="00C167B7">
        <w:rPr>
          <w:b/>
          <w:sz w:val="24"/>
        </w:rPr>
        <w:t xml:space="preserve"> předpisy </w:t>
      </w:r>
      <w:r w:rsidR="00943B97" w:rsidRPr="00C167B7">
        <w:rPr>
          <w:b/>
          <w:sz w:val="24"/>
        </w:rPr>
        <w:t>EU</w:t>
      </w:r>
    </w:p>
    <w:p w14:paraId="5143C892" w14:textId="479EFAF8" w:rsidR="00530EA3" w:rsidRPr="00AB1906" w:rsidRDefault="00273EF1" w:rsidP="00530EA3">
      <w:pPr>
        <w:pStyle w:val="nadpiszkona"/>
      </w:pPr>
      <w:r w:rsidRPr="00AB1906">
        <w:rPr>
          <w:szCs w:val="24"/>
        </w:rPr>
        <w:t xml:space="preserve">k návrhu </w:t>
      </w:r>
      <w:r w:rsidR="00444155" w:rsidRPr="00AB1906">
        <w:rPr>
          <w:szCs w:val="24"/>
        </w:rPr>
        <w:t xml:space="preserve">vyhlášky </w:t>
      </w:r>
      <w:r w:rsidR="00AB1906" w:rsidRPr="00AB1906">
        <w:rPr>
          <w:rStyle w:val="normaltextrun"/>
          <w:bCs/>
          <w:color w:val="000000"/>
          <w:shd w:val="clear" w:color="auto" w:fill="FFFFFF"/>
        </w:rPr>
        <w:t xml:space="preserve">o formulářových podáních </w:t>
      </w:r>
      <w:r w:rsidR="00C765B6">
        <w:rPr>
          <w:rStyle w:val="normaltextrun"/>
          <w:bCs/>
          <w:color w:val="000000"/>
          <w:shd w:val="clear" w:color="auto" w:fill="FFFFFF"/>
        </w:rPr>
        <w:t>pro dorovnávací daně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5"/>
        <w:gridCol w:w="5254"/>
        <w:gridCol w:w="1410"/>
        <w:gridCol w:w="1210"/>
        <w:gridCol w:w="6079"/>
      </w:tblGrid>
      <w:tr w:rsidR="00C167B7" w:rsidRPr="00C167B7" w14:paraId="6AA64623" w14:textId="77777777" w:rsidTr="4E3B8E56">
        <w:trPr>
          <w:tblHeader/>
        </w:trPr>
        <w:tc>
          <w:tcPr>
            <w:tcW w:w="2147" w:type="pct"/>
            <w:gridSpan w:val="2"/>
            <w:shd w:val="clear" w:color="auto" w:fill="D9D9D9" w:themeFill="background1" w:themeFillShade="D9"/>
            <w:vAlign w:val="center"/>
          </w:tcPr>
          <w:p w14:paraId="5953D0D9" w14:textId="77777777" w:rsidR="00506795" w:rsidRPr="00C167B7" w:rsidRDefault="00506795" w:rsidP="00A14694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6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2853" w:type="pct"/>
            <w:gridSpan w:val="3"/>
            <w:shd w:val="clear" w:color="auto" w:fill="D9D9D9" w:themeFill="background1" w:themeFillShade="D9"/>
            <w:vAlign w:val="center"/>
          </w:tcPr>
          <w:p w14:paraId="7F7FF350" w14:textId="77777777" w:rsidR="00506795" w:rsidRPr="00C167B7" w:rsidRDefault="00506795" w:rsidP="00AF1FDC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6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C167B7" w:rsidRPr="00C167B7" w14:paraId="59E1B6BF" w14:textId="77777777" w:rsidTr="4E3B8E56">
        <w:trPr>
          <w:tblHeader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33122CA4" w14:textId="77777777" w:rsidR="00506795" w:rsidRPr="00C167B7" w:rsidRDefault="00506795" w:rsidP="008371D7">
            <w:pPr>
              <w:spacing w:before="60"/>
              <w:jc w:val="center"/>
              <w:rPr>
                <w:b/>
                <w:bCs/>
              </w:rPr>
            </w:pPr>
            <w:r w:rsidRPr="00C167B7">
              <w:rPr>
                <w:b/>
                <w:bCs/>
              </w:rPr>
              <w:t>Ustanovení</w:t>
            </w:r>
          </w:p>
          <w:p w14:paraId="07DD9325" w14:textId="0DE3C682" w:rsidR="004725B3" w:rsidRPr="00C167B7" w:rsidRDefault="004725B3" w:rsidP="008371D7">
            <w:pPr>
              <w:spacing w:before="60"/>
              <w:jc w:val="center"/>
              <w:rPr>
                <w:b/>
                <w:bCs/>
              </w:rPr>
            </w:pP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14:paraId="5A62B188" w14:textId="77777777" w:rsidR="00506795" w:rsidRPr="00C167B7" w:rsidRDefault="00506795" w:rsidP="00A14694">
            <w:pPr>
              <w:pStyle w:val="Pedmtkomente"/>
              <w:spacing w:before="60"/>
              <w:jc w:val="center"/>
            </w:pPr>
            <w:r w:rsidRPr="00C167B7">
              <w:t>Obsah</w:t>
            </w:r>
          </w:p>
        </w:tc>
        <w:tc>
          <w:tcPr>
            <w:tcW w:w="467" w:type="pct"/>
            <w:shd w:val="clear" w:color="auto" w:fill="D9D9D9" w:themeFill="background1" w:themeFillShade="D9"/>
            <w:vAlign w:val="center"/>
          </w:tcPr>
          <w:p w14:paraId="17418600" w14:textId="77777777" w:rsidR="00506795" w:rsidRPr="00C167B7" w:rsidRDefault="00506795" w:rsidP="00A14694">
            <w:pPr>
              <w:spacing w:before="60"/>
              <w:jc w:val="center"/>
              <w:rPr>
                <w:b/>
                <w:bCs/>
              </w:rPr>
            </w:pPr>
            <w:r w:rsidRPr="00C167B7">
              <w:rPr>
                <w:b/>
                <w:bCs/>
              </w:rPr>
              <w:t>CELEX č.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14:paraId="47BE6E70" w14:textId="77777777" w:rsidR="00506795" w:rsidRPr="00C167B7" w:rsidRDefault="00506795" w:rsidP="0020434C">
            <w:pPr>
              <w:spacing w:before="60"/>
            </w:pPr>
            <w:r w:rsidRPr="00C167B7">
              <w:rPr>
                <w:b/>
                <w:bCs/>
              </w:rPr>
              <w:t>Ustanovení</w:t>
            </w:r>
          </w:p>
        </w:tc>
        <w:tc>
          <w:tcPr>
            <w:tcW w:w="1984" w:type="pct"/>
            <w:shd w:val="clear" w:color="auto" w:fill="D9D9D9" w:themeFill="background1" w:themeFillShade="D9"/>
            <w:vAlign w:val="center"/>
          </w:tcPr>
          <w:p w14:paraId="6F9FA09E" w14:textId="77777777" w:rsidR="00506795" w:rsidRPr="00B2057E" w:rsidRDefault="00506795" w:rsidP="00515B1D">
            <w:pPr>
              <w:spacing w:before="60"/>
              <w:jc w:val="center"/>
            </w:pPr>
            <w:r w:rsidRPr="00B2057E">
              <w:rPr>
                <w:b/>
                <w:bCs/>
              </w:rPr>
              <w:t>Obsah</w:t>
            </w:r>
          </w:p>
        </w:tc>
      </w:tr>
      <w:tr w:rsidR="002E13D7" w:rsidRPr="004F1D63" w14:paraId="3CA8E96E" w14:textId="77777777" w:rsidTr="4E3B8E56">
        <w:trPr>
          <w:trHeight w:val="1200"/>
        </w:trPr>
        <w:tc>
          <w:tcPr>
            <w:tcW w:w="431" w:type="pct"/>
            <w:shd w:val="clear" w:color="auto" w:fill="auto"/>
          </w:tcPr>
          <w:p w14:paraId="021199F3" w14:textId="5DECC0B7" w:rsidR="002E13D7" w:rsidRPr="005E5D62" w:rsidRDefault="001F1481" w:rsidP="00672F86">
            <w:pPr>
              <w:spacing w:before="60"/>
              <w:jc w:val="left"/>
              <w:rPr>
                <w:b/>
                <w:bCs/>
              </w:rPr>
            </w:pPr>
            <w:r>
              <w:t>§ 1 odst. 1 pozn. pod čarou č. 1</w:t>
            </w:r>
          </w:p>
        </w:tc>
        <w:tc>
          <w:tcPr>
            <w:tcW w:w="1716" w:type="pct"/>
            <w:shd w:val="clear" w:color="auto" w:fill="auto"/>
          </w:tcPr>
          <w:p w14:paraId="784BAB2F" w14:textId="3E9480B8" w:rsidR="002E13D7" w:rsidRPr="00E07E0F" w:rsidRDefault="00E07E0F" w:rsidP="00826942">
            <w:pPr>
              <w:spacing w:before="60"/>
            </w:pPr>
            <w:r w:rsidRPr="00E07E0F">
              <w:rPr>
                <w:bCs/>
                <w:szCs w:val="21"/>
                <w:shd w:val="clear" w:color="auto" w:fill="FFFFFF"/>
              </w:rPr>
              <w:t>Směrnice Rady (EU) 2025/872 ze dne 14. dubna 2025, kterou se mění směrnice 2011/16/EU o správní spolupráci v oblasti daní</w:t>
            </w:r>
            <w:r>
              <w:rPr>
                <w:bCs/>
                <w:szCs w:val="21"/>
                <w:shd w:val="clear" w:color="auto" w:fill="FFFFFF"/>
              </w:rPr>
              <w:t>.</w:t>
            </w:r>
          </w:p>
        </w:tc>
        <w:tc>
          <w:tcPr>
            <w:tcW w:w="467" w:type="pct"/>
            <w:shd w:val="clear" w:color="auto" w:fill="auto"/>
          </w:tcPr>
          <w:p w14:paraId="09F314DA" w14:textId="1C8D0387" w:rsidR="00472AF1" w:rsidRPr="001C4901" w:rsidRDefault="001C4901" w:rsidP="00826942">
            <w:pPr>
              <w:spacing w:before="60"/>
            </w:pPr>
            <w:r w:rsidRPr="00DB2D00">
              <w:rPr>
                <w:szCs w:val="21"/>
                <w:shd w:val="clear" w:color="auto" w:fill="FFFFFF"/>
              </w:rPr>
              <w:t>32025L0872</w:t>
            </w:r>
          </w:p>
        </w:tc>
        <w:tc>
          <w:tcPr>
            <w:tcW w:w="402" w:type="pct"/>
            <w:shd w:val="clear" w:color="auto" w:fill="auto"/>
          </w:tcPr>
          <w:p w14:paraId="4CA001E9" w14:textId="0944BA4C" w:rsidR="002E13D7" w:rsidRPr="005E5D62" w:rsidRDefault="00D81D78" w:rsidP="00826942">
            <w:pPr>
              <w:spacing w:before="60"/>
            </w:pPr>
            <w:r>
              <w:t>Článek</w:t>
            </w:r>
            <w:r w:rsidR="002E13D7" w:rsidRPr="005E5D62">
              <w:t xml:space="preserve"> 2</w:t>
            </w:r>
            <w:r w:rsidR="00DD53BB">
              <w:t xml:space="preserve"> odst. </w:t>
            </w:r>
            <w:r w:rsidR="001F1481">
              <w:t>1 třetí pododstavec</w:t>
            </w:r>
          </w:p>
          <w:p w14:paraId="4D73B374" w14:textId="2CAEF1A9" w:rsidR="00472AF1" w:rsidRPr="005E5D62" w:rsidRDefault="00472AF1" w:rsidP="00826942">
            <w:pPr>
              <w:spacing w:before="60"/>
            </w:pPr>
          </w:p>
        </w:tc>
        <w:tc>
          <w:tcPr>
            <w:tcW w:w="1984" w:type="pct"/>
            <w:shd w:val="clear" w:color="auto" w:fill="auto"/>
          </w:tcPr>
          <w:p w14:paraId="6AB8552F" w14:textId="1D801713" w:rsidR="00472AF1" w:rsidRPr="005E5D62" w:rsidRDefault="001F1481" w:rsidP="00826942">
            <w:pPr>
              <w:spacing w:before="60"/>
            </w:pPr>
            <w:r w:rsidRPr="001F1481">
              <w:rPr>
                <w:szCs w:val="27"/>
                <w:shd w:val="clear" w:color="auto" w:fill="FFFFFF"/>
              </w:rPr>
              <w:t>Tyto předpisy přijaté členskými státy musí obsahovat odkaz na tuto směrnici nebo musí být takový odkaz učiněn při jejich úředním vyhlášení. Způsob odkazu si stanoví členské státy.</w:t>
            </w:r>
          </w:p>
        </w:tc>
      </w:tr>
      <w:tr w:rsidR="00792DDD" w:rsidRPr="004F1D63" w14:paraId="43C603FA" w14:textId="77777777" w:rsidTr="4E3B8E56">
        <w:tc>
          <w:tcPr>
            <w:tcW w:w="431" w:type="pct"/>
            <w:shd w:val="clear" w:color="auto" w:fill="auto"/>
          </w:tcPr>
          <w:p w14:paraId="4CEFC1B4" w14:textId="54FF9F9D" w:rsidR="00792DDD" w:rsidRPr="005E5D62" w:rsidRDefault="00145E4B" w:rsidP="00145E4B">
            <w:pPr>
              <w:spacing w:before="60"/>
              <w:rPr>
                <w:b/>
                <w:bCs/>
              </w:rPr>
            </w:pPr>
            <w:r>
              <w:t xml:space="preserve">Příloha č. </w:t>
            </w:r>
            <w:r w:rsidR="19E7041A">
              <w:t>2</w:t>
            </w:r>
            <w:r>
              <w:t>, část Obsahová struktura informačního přehledu k </w:t>
            </w:r>
            <w:r w:rsidR="466C4989">
              <w:t xml:space="preserve">dorovnávacím daním </w:t>
            </w:r>
            <w:r w:rsidR="00803AD6">
              <w:t>(datové body 1.1, 1.3, 1.4, 2.1, 3.1, 3.4)</w:t>
            </w:r>
          </w:p>
        </w:tc>
        <w:tc>
          <w:tcPr>
            <w:tcW w:w="1716" w:type="pct"/>
            <w:shd w:val="clear" w:color="auto" w:fill="auto"/>
          </w:tcPr>
          <w:p w14:paraId="24E6FE78" w14:textId="1A619697" w:rsidR="00792DDD" w:rsidRPr="005E5D62" w:rsidRDefault="294B5BD1" w:rsidP="4E3B8E56">
            <w:pPr>
              <w:spacing w:before="60"/>
              <w:rPr>
                <w:b/>
                <w:bCs/>
              </w:rPr>
            </w:pPr>
            <w:r>
              <w:t>Obsahová struktura informačního přehledu k dorovnávacím daním (datové body 1.1, 1.3, 1.4, 2.1, 3.1, 3.4)</w:t>
            </w:r>
          </w:p>
        </w:tc>
        <w:tc>
          <w:tcPr>
            <w:tcW w:w="467" w:type="pct"/>
            <w:shd w:val="clear" w:color="auto" w:fill="auto"/>
          </w:tcPr>
          <w:p w14:paraId="4CBD0088" w14:textId="1A6E0987" w:rsidR="00792DDD" w:rsidRPr="005E5D62" w:rsidRDefault="00DB2D00" w:rsidP="00826942">
            <w:pPr>
              <w:spacing w:before="60"/>
              <w:rPr>
                <w:b/>
                <w:bCs/>
              </w:rPr>
            </w:pPr>
            <w:r w:rsidRPr="00DB2D00">
              <w:rPr>
                <w:szCs w:val="21"/>
                <w:shd w:val="clear" w:color="auto" w:fill="FFFFFF"/>
              </w:rPr>
              <w:t>32025L0872</w:t>
            </w:r>
          </w:p>
        </w:tc>
        <w:tc>
          <w:tcPr>
            <w:tcW w:w="402" w:type="pct"/>
            <w:shd w:val="clear" w:color="auto" w:fill="auto"/>
          </w:tcPr>
          <w:p w14:paraId="5B3F9154" w14:textId="41E0C219" w:rsidR="00070A7F" w:rsidRDefault="00070A7F" w:rsidP="00826942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09CA516D" w14:textId="005E25F6" w:rsidR="00792DDD" w:rsidRPr="005E5D62" w:rsidRDefault="00070A7F" w:rsidP="00826942">
            <w:pPr>
              <w:spacing w:before="60"/>
            </w:pPr>
            <w:r>
              <w:rPr>
                <w:sz w:val="18"/>
              </w:rPr>
              <w:t>(</w:t>
            </w:r>
            <w:r w:rsidR="00CC6029">
              <w:rPr>
                <w:sz w:val="18"/>
              </w:rPr>
              <w:t xml:space="preserve">Příloha </w:t>
            </w:r>
            <w:r>
              <w:rPr>
                <w:sz w:val="18"/>
              </w:rPr>
              <w:t xml:space="preserve">VII </w:t>
            </w:r>
            <w:r w:rsidR="00CC6029">
              <w:rPr>
                <w:sz w:val="18"/>
              </w:rPr>
              <w:t>– Oddíl II</w:t>
            </w:r>
            <w:r>
              <w:rPr>
                <w:sz w:val="18"/>
              </w:rPr>
              <w:t>)</w:t>
            </w:r>
          </w:p>
        </w:tc>
        <w:tc>
          <w:tcPr>
            <w:tcW w:w="1984" w:type="pct"/>
            <w:shd w:val="clear" w:color="auto" w:fill="auto"/>
          </w:tcPr>
          <w:p w14:paraId="31A28B48" w14:textId="130BFE4B" w:rsidR="00792DDD" w:rsidRPr="005E5D62" w:rsidRDefault="00A57A5F" w:rsidP="00826942">
            <w:pPr>
              <w:spacing w:before="60"/>
            </w:pPr>
            <w:r w:rsidRPr="00A57A5F">
              <w:t>Členský subjekt, který podává informační přehled k dorovnávací dani, určí příslušné oddíly a příslušné členské státy, kterým musí být informace rozeslány, v souladu se způsobem šíření informací stanoveným v článku 8ae.</w:t>
            </w:r>
          </w:p>
        </w:tc>
      </w:tr>
      <w:tr w:rsidR="00A57A5F" w:rsidRPr="004F1D63" w14:paraId="73D9AAE0" w14:textId="77777777" w:rsidTr="4E3B8E56">
        <w:tc>
          <w:tcPr>
            <w:tcW w:w="431" w:type="pct"/>
            <w:shd w:val="clear" w:color="auto" w:fill="auto"/>
          </w:tcPr>
          <w:p w14:paraId="57B02124" w14:textId="4FC841A7" w:rsidR="00A57A5F" w:rsidRDefault="00A57A5F" w:rsidP="00A57A5F">
            <w:pPr>
              <w:spacing w:before="60"/>
            </w:pPr>
            <w:r>
              <w:t xml:space="preserve">Příloha č. </w:t>
            </w:r>
            <w:r w:rsidR="7517D92D">
              <w:t>2</w:t>
            </w:r>
            <w:r>
              <w:t>, část Obsahová struktura informačního přehledu k </w:t>
            </w:r>
            <w:r w:rsidR="4B9AC4D3">
              <w:t>dorovnávacím daním</w:t>
            </w:r>
          </w:p>
        </w:tc>
        <w:tc>
          <w:tcPr>
            <w:tcW w:w="1716" w:type="pct"/>
            <w:shd w:val="clear" w:color="auto" w:fill="auto"/>
          </w:tcPr>
          <w:p w14:paraId="1AF44A9B" w14:textId="4AA589AF" w:rsidR="00A57A5F" w:rsidRDefault="00A57A5F" w:rsidP="00A57A5F">
            <w:pPr>
              <w:spacing w:before="60"/>
            </w:pPr>
            <w:r>
              <w:t>Obsahová struktura informačního přehledu k </w:t>
            </w:r>
            <w:r w:rsidR="7E33BF70">
              <w:t>dorovnávacím daním</w:t>
            </w:r>
          </w:p>
        </w:tc>
        <w:tc>
          <w:tcPr>
            <w:tcW w:w="467" w:type="pct"/>
            <w:shd w:val="clear" w:color="auto" w:fill="auto"/>
          </w:tcPr>
          <w:p w14:paraId="28DEDEB2" w14:textId="46E838E8" w:rsidR="00A57A5F" w:rsidRPr="00DB2D00" w:rsidRDefault="00A57A5F" w:rsidP="00A57A5F">
            <w:pPr>
              <w:spacing w:before="60"/>
              <w:rPr>
                <w:szCs w:val="21"/>
                <w:shd w:val="clear" w:color="auto" w:fill="FFFFFF"/>
              </w:rPr>
            </w:pPr>
            <w:r w:rsidRPr="00DB2D00">
              <w:rPr>
                <w:szCs w:val="21"/>
                <w:shd w:val="clear" w:color="auto" w:fill="FFFFFF"/>
              </w:rPr>
              <w:t>32025L0872</w:t>
            </w:r>
          </w:p>
        </w:tc>
        <w:tc>
          <w:tcPr>
            <w:tcW w:w="402" w:type="pct"/>
            <w:shd w:val="clear" w:color="auto" w:fill="auto"/>
          </w:tcPr>
          <w:p w14:paraId="5EF5AA27" w14:textId="181FEC0C" w:rsidR="00070A7F" w:rsidRDefault="00070A7F" w:rsidP="00A57A5F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091229F6" w14:textId="11C21D95" w:rsidR="00A57A5F" w:rsidRDefault="00070A7F" w:rsidP="00A57A5F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(</w:t>
            </w:r>
            <w:r w:rsidR="00A57A5F">
              <w:rPr>
                <w:sz w:val="18"/>
              </w:rPr>
              <w:t>Příloha</w:t>
            </w:r>
            <w:r>
              <w:rPr>
                <w:sz w:val="18"/>
              </w:rPr>
              <w:t xml:space="preserve"> VII</w:t>
            </w:r>
            <w:r w:rsidR="00A57A5F">
              <w:rPr>
                <w:sz w:val="18"/>
              </w:rPr>
              <w:t xml:space="preserve"> – Oddíl IV</w:t>
            </w:r>
            <w:r>
              <w:rPr>
                <w:sz w:val="18"/>
              </w:rPr>
              <w:t>)</w:t>
            </w:r>
          </w:p>
        </w:tc>
        <w:tc>
          <w:tcPr>
            <w:tcW w:w="1984" w:type="pct"/>
            <w:shd w:val="clear" w:color="auto" w:fill="auto"/>
          </w:tcPr>
          <w:p w14:paraId="18E066EF" w14:textId="70EE46E8" w:rsidR="00A57A5F" w:rsidRDefault="00A57A5F" w:rsidP="00A57A5F">
            <w:pPr>
              <w:spacing w:before="60"/>
            </w:pPr>
            <w:r>
              <w:t>Datové body</w:t>
            </w:r>
          </w:p>
        </w:tc>
      </w:tr>
      <w:tr w:rsidR="00A57A5F" w:rsidRPr="004F1D63" w14:paraId="13EE1DC5" w14:textId="77777777" w:rsidTr="4E3B8E56">
        <w:trPr>
          <w:trHeight w:val="930"/>
        </w:trPr>
        <w:tc>
          <w:tcPr>
            <w:tcW w:w="431" w:type="pct"/>
            <w:shd w:val="clear" w:color="auto" w:fill="auto"/>
          </w:tcPr>
          <w:p w14:paraId="04623138" w14:textId="7C0CDB9E" w:rsidR="00A57A5F" w:rsidRPr="005E5D62" w:rsidRDefault="00A57A5F" w:rsidP="00A57A5F">
            <w:pPr>
              <w:spacing w:before="60"/>
              <w:jc w:val="left"/>
            </w:pPr>
            <w:r>
              <w:t xml:space="preserve">Příloha č. </w:t>
            </w:r>
            <w:r w:rsidR="583226E9">
              <w:t>2</w:t>
            </w:r>
            <w:r>
              <w:t>, část Pokyny k</w:t>
            </w:r>
            <w:r w:rsidR="005913A8">
              <w:t> vyplnění informačního přehledu</w:t>
            </w:r>
            <w:r w:rsidR="4433BF81">
              <w:t xml:space="preserve"> k dorovnávacím daním</w:t>
            </w:r>
          </w:p>
        </w:tc>
        <w:tc>
          <w:tcPr>
            <w:tcW w:w="1716" w:type="pct"/>
            <w:shd w:val="clear" w:color="auto" w:fill="auto"/>
          </w:tcPr>
          <w:p w14:paraId="4606DD07" w14:textId="4856AAC9" w:rsidR="00A57A5F" w:rsidRPr="005E5D62" w:rsidRDefault="002D2D34" w:rsidP="002D2D34">
            <w:pPr>
              <w:spacing w:after="130" w:line="300" w:lineRule="auto"/>
              <w:ind w:right="57"/>
            </w:pPr>
            <w:r>
              <w:t>Tam, kde informační přehled nebo tyto pokyny mluví o nadnárodní skupině, použije se informační přehled a tyto pokyny obdobně i pro vnitrostátní skupinu.</w:t>
            </w:r>
          </w:p>
        </w:tc>
        <w:tc>
          <w:tcPr>
            <w:tcW w:w="467" w:type="pct"/>
            <w:shd w:val="clear" w:color="auto" w:fill="auto"/>
          </w:tcPr>
          <w:p w14:paraId="105A2B6A" w14:textId="64492566" w:rsidR="00A57A5F" w:rsidRPr="005E5D62" w:rsidRDefault="00A57A5F" w:rsidP="00A57A5F">
            <w:pPr>
              <w:spacing w:before="60"/>
            </w:pPr>
            <w:r w:rsidRPr="00DB2D00">
              <w:rPr>
                <w:szCs w:val="21"/>
                <w:shd w:val="clear" w:color="auto" w:fill="FFFFFF"/>
              </w:rPr>
              <w:t>32025L0872</w:t>
            </w:r>
          </w:p>
        </w:tc>
        <w:tc>
          <w:tcPr>
            <w:tcW w:w="402" w:type="pct"/>
            <w:shd w:val="clear" w:color="auto" w:fill="auto"/>
          </w:tcPr>
          <w:p w14:paraId="6E403B20" w14:textId="71469739" w:rsidR="00A57A5F" w:rsidRPr="005E5D62" w:rsidRDefault="00C6433C" w:rsidP="002D2D34">
            <w:pPr>
              <w:spacing w:before="60"/>
            </w:pPr>
            <w:r>
              <w:t>Příloha (</w:t>
            </w:r>
            <w:r w:rsidR="00A57A5F">
              <w:t xml:space="preserve">Příloha </w:t>
            </w:r>
            <w:r>
              <w:t xml:space="preserve">VII </w:t>
            </w:r>
            <w:r w:rsidR="00A57A5F">
              <w:t xml:space="preserve">– </w:t>
            </w:r>
            <w:r w:rsidR="002D2D34">
              <w:t>Oddíl III</w:t>
            </w:r>
          </w:p>
        </w:tc>
        <w:tc>
          <w:tcPr>
            <w:tcW w:w="1984" w:type="pct"/>
            <w:shd w:val="clear" w:color="auto" w:fill="auto"/>
          </w:tcPr>
          <w:p w14:paraId="511AAE24" w14:textId="5547F4DC" w:rsidR="00762F97" w:rsidRDefault="00762F97" w:rsidP="00762F97">
            <w:pPr>
              <w:spacing w:before="60"/>
            </w:pPr>
            <w:r>
              <w:t>Pokud mateřský subjekt velké vnitrostátní skupiny drží přímo či nepřímo vlastnický podíl ve společném podniku nebo přidružené osobě společného podniku, na který se vztahuje kvalifikovaná vnitrostátní dorovnávací daň v jiném členském státě, než je členský stát, v němž se velká vnitrostátní skupina nachází, použije tato velká vnitrostátní skupina standardní šablonu informačního přehledu k dorovnávací dani stanovenou v oddíle IV této přílohy.</w:t>
            </w:r>
          </w:p>
          <w:p w14:paraId="31292E9D" w14:textId="07978A80" w:rsidR="00A57A5F" w:rsidRPr="005E5D62" w:rsidRDefault="00762F97" w:rsidP="00762F97">
            <w:pPr>
              <w:spacing w:before="60"/>
            </w:pPr>
            <w:r>
              <w:t>V případech, na něž se vztahuje první pododstavec, přijmou členské státy nezbytná opatření k zajištění toho, že budou použity čl. 8ae odst. 2 a článek 9a.</w:t>
            </w:r>
          </w:p>
        </w:tc>
      </w:tr>
      <w:tr w:rsidR="00A57A5F" w:rsidRPr="004F1D63" w14:paraId="6F8BB4DB" w14:textId="77777777" w:rsidTr="4E3B8E56">
        <w:tc>
          <w:tcPr>
            <w:tcW w:w="431" w:type="pct"/>
            <w:shd w:val="clear" w:color="auto" w:fill="auto"/>
          </w:tcPr>
          <w:p w14:paraId="7AF57D5A" w14:textId="2B634E46" w:rsidR="00A57A5F" w:rsidRPr="005E5D62" w:rsidRDefault="0067779A" w:rsidP="00A57A5F">
            <w:pPr>
              <w:spacing w:before="60"/>
              <w:jc w:val="left"/>
            </w:pPr>
            <w:r>
              <w:t xml:space="preserve">Příloha č. </w:t>
            </w:r>
            <w:r w:rsidR="171933EC">
              <w:t>3</w:t>
            </w:r>
            <w:r w:rsidR="00F74D6A">
              <w:t>, odst. 1</w:t>
            </w:r>
            <w:r w:rsidR="005561B7">
              <w:t xml:space="preserve"> písm. a)</w:t>
            </w:r>
          </w:p>
        </w:tc>
        <w:tc>
          <w:tcPr>
            <w:tcW w:w="1716" w:type="pct"/>
            <w:shd w:val="clear" w:color="auto" w:fill="auto"/>
          </w:tcPr>
          <w:p w14:paraId="076206FA" w14:textId="77777777" w:rsidR="005A51B3" w:rsidRPr="00695DCD" w:rsidRDefault="005A51B3" w:rsidP="005A51B3">
            <w:pPr>
              <w:spacing w:after="160" w:line="259" w:lineRule="auto"/>
              <w:textAlignment w:val="auto"/>
              <w:rPr>
                <w:lang w:val="en-GB"/>
              </w:rPr>
            </w:pPr>
            <w:r w:rsidRPr="00695DCD">
              <w:t>Rozsah informací předávaných kontaktnímu místu zúčastněného státu Ústředním kontaktním místem</w:t>
            </w:r>
            <w:r w:rsidRPr="00695DCD">
              <w:rPr>
                <w:lang w:val="en-GB"/>
              </w:rPr>
              <w:t> </w:t>
            </w:r>
          </w:p>
          <w:p w14:paraId="56B263C2" w14:textId="77777777" w:rsidR="005A51B3" w:rsidRPr="00695DCD" w:rsidRDefault="005A51B3" w:rsidP="005A51B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lang w:val="en-GB"/>
              </w:rPr>
            </w:pPr>
            <w:r w:rsidRPr="00695DCD">
              <w:lastRenderedPageBreak/>
              <w:t>Pro účely této přílohy se rozumí:</w:t>
            </w:r>
            <w:r w:rsidRPr="00695DCD">
              <w:rPr>
                <w:lang w:val="en-GB"/>
              </w:rPr>
              <w:t> </w:t>
            </w:r>
          </w:p>
          <w:p w14:paraId="5178C6AE" w14:textId="560C075D" w:rsidR="00A57A5F" w:rsidRPr="00125A67" w:rsidRDefault="696900F5" w:rsidP="4E3B8E5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lang w:val="en-GB"/>
              </w:rPr>
            </w:pPr>
            <w:r w:rsidRPr="4E3B8E56">
              <w:rPr>
                <w:color w:val="000000" w:themeColor="text1"/>
              </w:rPr>
              <w:t>obecným oddílem oddíl 1 informačního přehledu k dorovnávací dani podle přílohy č. 3 k této vyhlášce, který obsahuje obecné informace o nadnárodní skupině podniků jako celku, včetně její korporátní struktury a souhrnné informace na vysoké úrovni,</w:t>
            </w:r>
          </w:p>
          <w:p w14:paraId="36D6CCCC" w14:textId="0D1E10AA" w:rsidR="00A57A5F" w:rsidRPr="00125A67" w:rsidRDefault="00A57A5F" w:rsidP="4E3B8E56">
            <w:pPr>
              <w:overflowPunct/>
              <w:autoSpaceDE/>
              <w:autoSpaceDN/>
              <w:adjustRightInd/>
              <w:spacing w:after="160" w:line="259" w:lineRule="auto"/>
              <w:ind w:left="720"/>
              <w:textAlignment w:val="auto"/>
              <w:rPr>
                <w:lang w:val="en-GB"/>
              </w:rPr>
            </w:pPr>
          </w:p>
        </w:tc>
        <w:tc>
          <w:tcPr>
            <w:tcW w:w="467" w:type="pct"/>
            <w:shd w:val="clear" w:color="auto" w:fill="auto"/>
          </w:tcPr>
          <w:p w14:paraId="697B858C" w14:textId="3072BDC1" w:rsidR="00A57A5F" w:rsidRPr="005E5D62" w:rsidRDefault="002104A0" w:rsidP="00A57A5F">
            <w:pPr>
              <w:spacing w:before="60"/>
            </w:pPr>
            <w:r w:rsidRPr="00DB2D00">
              <w:rPr>
                <w:szCs w:val="21"/>
                <w:shd w:val="clear" w:color="auto" w:fill="FFFFFF"/>
              </w:rPr>
              <w:lastRenderedPageBreak/>
              <w:t>32025L0872</w:t>
            </w:r>
          </w:p>
        </w:tc>
        <w:tc>
          <w:tcPr>
            <w:tcW w:w="402" w:type="pct"/>
            <w:shd w:val="clear" w:color="auto" w:fill="auto"/>
          </w:tcPr>
          <w:p w14:paraId="3F391E53" w14:textId="38D62B5F" w:rsidR="009373C9" w:rsidRDefault="009373C9" w:rsidP="00A57A5F">
            <w:pPr>
              <w:spacing w:before="60"/>
            </w:pPr>
            <w:r>
              <w:t>Příloha</w:t>
            </w:r>
          </w:p>
          <w:p w14:paraId="42BF4B16" w14:textId="562A21C2" w:rsidR="00A57A5F" w:rsidRPr="005E5D62" w:rsidRDefault="009373C9" w:rsidP="00A57A5F">
            <w:pPr>
              <w:spacing w:before="60"/>
            </w:pPr>
            <w:r>
              <w:lastRenderedPageBreak/>
              <w:t>(</w:t>
            </w:r>
            <w:r w:rsidR="00550A0D">
              <w:t xml:space="preserve">Příloha </w:t>
            </w:r>
            <w:r>
              <w:t xml:space="preserve">VII </w:t>
            </w:r>
            <w:r w:rsidR="00550A0D">
              <w:t>– Oddíl 1</w:t>
            </w:r>
            <w:r w:rsidR="00DE37FC">
              <w:t xml:space="preserve"> bod 4</w:t>
            </w:r>
            <w:r>
              <w:t>)</w:t>
            </w:r>
          </w:p>
        </w:tc>
        <w:tc>
          <w:tcPr>
            <w:tcW w:w="1984" w:type="pct"/>
            <w:shd w:val="clear" w:color="auto" w:fill="auto"/>
          </w:tcPr>
          <w:p w14:paraId="09DD3918" w14:textId="76EE2BAB" w:rsidR="00076C55" w:rsidRDefault="00076C55" w:rsidP="00076C55">
            <w:pPr>
              <w:spacing w:before="60"/>
            </w:pPr>
            <w:r>
              <w:lastRenderedPageBreak/>
              <w:t>Pro účely této přílohy se rozumí:</w:t>
            </w:r>
          </w:p>
          <w:p w14:paraId="3FB0752A" w14:textId="5CCA0644" w:rsidR="00A57A5F" w:rsidRPr="005E5D62" w:rsidRDefault="00076C55" w:rsidP="00076C55">
            <w:pPr>
              <w:spacing w:before="60"/>
            </w:pPr>
            <w:r>
              <w:t xml:space="preserve">4) ‚obecným oddílem‘ oddíl informačního přehledu k dorovnávací dani, který obsahuje obecné informace o nadnárodní skupině podniků jako </w:t>
            </w:r>
            <w:r>
              <w:lastRenderedPageBreak/>
              <w:t>celku, včetně její korporátní struktury a obecného shrnutí týkajícího se uplatňování směrnice (EU) 2022/2523, přičemž tento oddíl odpovídá oddílu 1 standardní šablony informačního přehledu k dorovnávací dani;</w:t>
            </w:r>
          </w:p>
        </w:tc>
      </w:tr>
      <w:tr w:rsidR="00DB5003" w:rsidRPr="004F1D63" w14:paraId="21174EED" w14:textId="77777777" w:rsidTr="4E3B8E56">
        <w:tc>
          <w:tcPr>
            <w:tcW w:w="431" w:type="pct"/>
            <w:shd w:val="clear" w:color="auto" w:fill="auto"/>
          </w:tcPr>
          <w:p w14:paraId="4A35CBA2" w14:textId="0CE58235" w:rsidR="00DB5003" w:rsidRDefault="00DB5003" w:rsidP="00493BC6">
            <w:pPr>
              <w:spacing w:before="60"/>
              <w:jc w:val="left"/>
            </w:pPr>
            <w:r>
              <w:lastRenderedPageBreak/>
              <w:t xml:space="preserve">Příloha č. </w:t>
            </w:r>
            <w:r w:rsidR="2C347157">
              <w:t>3</w:t>
            </w:r>
            <w:r w:rsidR="00927B25">
              <w:t>, odst. 1 písm. b)</w:t>
            </w:r>
          </w:p>
        </w:tc>
        <w:tc>
          <w:tcPr>
            <w:tcW w:w="1716" w:type="pct"/>
            <w:shd w:val="clear" w:color="auto" w:fill="auto"/>
          </w:tcPr>
          <w:p w14:paraId="52EA00D1" w14:textId="77777777" w:rsidR="00DF6A55" w:rsidRPr="00695DCD" w:rsidRDefault="00DF6A55" w:rsidP="00DF6A55">
            <w:pPr>
              <w:spacing w:after="160" w:line="259" w:lineRule="auto"/>
              <w:jc w:val="left"/>
              <w:textAlignment w:val="auto"/>
              <w:rPr>
                <w:lang w:val="en-GB"/>
              </w:rPr>
            </w:pPr>
            <w:r w:rsidRPr="00695DCD">
              <w:t>Rozsah informací předávaných kontaktnímu místu zúčastněného státu Ústředním kontaktním místem</w:t>
            </w:r>
            <w:r w:rsidRPr="00695DCD">
              <w:rPr>
                <w:lang w:val="en-GB"/>
              </w:rPr>
              <w:t> </w:t>
            </w:r>
          </w:p>
          <w:p w14:paraId="762E2F22" w14:textId="77777777" w:rsidR="00DF6A55" w:rsidRPr="00695DCD" w:rsidRDefault="00DF6A55" w:rsidP="00DF6A55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GB"/>
              </w:rPr>
            </w:pPr>
            <w:r w:rsidRPr="00695DCD">
              <w:t>Pro účely této přílohy se rozumí:</w:t>
            </w:r>
            <w:r w:rsidRPr="00695DCD">
              <w:rPr>
                <w:lang w:val="en-GB"/>
              </w:rPr>
              <w:t> </w:t>
            </w:r>
          </w:p>
          <w:p w14:paraId="14013AEC" w14:textId="77777777" w:rsidR="00DF6A55" w:rsidRPr="00695DCD" w:rsidRDefault="00DF6A55" w:rsidP="00DF6A55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lang w:val="en-GB"/>
              </w:rPr>
            </w:pPr>
            <w:r w:rsidRPr="00695DCD">
              <w:t>jurisdikčním oddílem oddíly 2 a 3 informačního přehledu k dorovnávací dani podle přílohy č. 3 k této vyhlášce, které obsahují informace o podrobném uplatňování kvalifikovaného pravidla pro zahrnutí příjmů, kvalifikovaného pravidla pro nedostatečně zdaněný zisk a kvalifikované vnitrostátní dorovnávací daně ve vztahu ke každé jurisdikci, v níž nadnárodní skupina podniků působí.</w:t>
            </w:r>
            <w:r w:rsidRPr="00695DCD">
              <w:rPr>
                <w:lang w:val="en-GB"/>
              </w:rPr>
              <w:t> </w:t>
            </w:r>
          </w:p>
          <w:p w14:paraId="0CD1EBD5" w14:textId="37E36892" w:rsidR="00DB5003" w:rsidRPr="00695DCD" w:rsidRDefault="00DB5003" w:rsidP="00DB5003">
            <w:pPr>
              <w:spacing w:after="160" w:line="259" w:lineRule="auto"/>
              <w:textAlignment w:val="auto"/>
            </w:pPr>
          </w:p>
        </w:tc>
        <w:tc>
          <w:tcPr>
            <w:tcW w:w="467" w:type="pct"/>
            <w:shd w:val="clear" w:color="auto" w:fill="auto"/>
          </w:tcPr>
          <w:p w14:paraId="6C510605" w14:textId="3B1E247B" w:rsidR="00DB5003" w:rsidRPr="00DB2D00" w:rsidRDefault="00DB5003" w:rsidP="00DB5003">
            <w:pPr>
              <w:spacing w:before="60"/>
              <w:rPr>
                <w:szCs w:val="21"/>
                <w:shd w:val="clear" w:color="auto" w:fill="FFFFFF"/>
              </w:rPr>
            </w:pPr>
            <w:r w:rsidRPr="00DB2D00">
              <w:rPr>
                <w:szCs w:val="21"/>
                <w:shd w:val="clear" w:color="auto" w:fill="FFFFFF"/>
              </w:rPr>
              <w:t>32025L0872</w:t>
            </w:r>
          </w:p>
        </w:tc>
        <w:tc>
          <w:tcPr>
            <w:tcW w:w="402" w:type="pct"/>
            <w:shd w:val="clear" w:color="auto" w:fill="auto"/>
          </w:tcPr>
          <w:p w14:paraId="0E6A5D80" w14:textId="77777777" w:rsidR="00DB5003" w:rsidRDefault="00DB5003" w:rsidP="00DB5003">
            <w:pPr>
              <w:spacing w:before="60"/>
            </w:pPr>
            <w:r>
              <w:t>Příloha</w:t>
            </w:r>
          </w:p>
          <w:p w14:paraId="7B60DE21" w14:textId="12FA3315" w:rsidR="00DB5003" w:rsidRDefault="00DB5003" w:rsidP="00DB5003">
            <w:pPr>
              <w:spacing w:before="60"/>
            </w:pPr>
            <w:r>
              <w:t xml:space="preserve">(Příloha VII – Oddíl 1 bod </w:t>
            </w:r>
            <w:r w:rsidR="006D53C9">
              <w:t>5</w:t>
            </w:r>
            <w:r>
              <w:t>)</w:t>
            </w:r>
          </w:p>
        </w:tc>
        <w:tc>
          <w:tcPr>
            <w:tcW w:w="1984" w:type="pct"/>
            <w:shd w:val="clear" w:color="auto" w:fill="auto"/>
          </w:tcPr>
          <w:p w14:paraId="30FEB112" w14:textId="55BE07B7" w:rsidR="006D53C9" w:rsidRPr="00ED09C9" w:rsidRDefault="006D53C9" w:rsidP="006D53C9">
            <w:pPr>
              <w:spacing w:before="60"/>
            </w:pPr>
            <w:r w:rsidRPr="00ED09C9">
              <w:t>Pro účely této přílohy se rozumí:</w:t>
            </w:r>
          </w:p>
          <w:p w14:paraId="4E36A2FB" w14:textId="79C32965" w:rsidR="00DB5003" w:rsidRPr="00ED09C9" w:rsidRDefault="006D53C9" w:rsidP="006D53C9">
            <w:pPr>
              <w:spacing w:before="60"/>
            </w:pPr>
            <w:r w:rsidRPr="00ED09C9">
              <w:t>5) ‚jurisdikčními oddíly‘ oddíly informačního přehledu k dorovnávací dani, které obsahují informace o podrobném uplatňování kvalifikovaného pravidla pro zahrnutí příjmů, kvalifikovaného pravidla pro nedostatečně zdaněný zisk a kvalifikované vnitrostátní dorovnávací daně ve vztahu ke každé jurisdikci, v níž nadnárodní skupina podniků působí, přičemž tyto oddíly odpovídají oddílům 2 a 3 standardní šablony informačního přehledu k dorovnávací dani;</w:t>
            </w:r>
          </w:p>
        </w:tc>
      </w:tr>
      <w:tr w:rsidR="00DB5003" w:rsidRPr="004F1D63" w14:paraId="54B059EE" w14:textId="77777777" w:rsidTr="4E3B8E56">
        <w:tc>
          <w:tcPr>
            <w:tcW w:w="431" w:type="pct"/>
            <w:shd w:val="clear" w:color="auto" w:fill="auto"/>
          </w:tcPr>
          <w:p w14:paraId="05673346" w14:textId="5A4A08E9" w:rsidR="00DB5003" w:rsidRPr="005E5D62" w:rsidRDefault="00ED09C9" w:rsidP="00DB5003">
            <w:pPr>
              <w:spacing w:before="60"/>
              <w:jc w:val="left"/>
              <w:rPr>
                <w:b/>
                <w:bCs/>
              </w:rPr>
            </w:pPr>
            <w:r>
              <w:t xml:space="preserve">Příloha </w:t>
            </w:r>
            <w:r w:rsidR="44684021">
              <w:t>3</w:t>
            </w:r>
            <w:r>
              <w:t xml:space="preserve"> odst. 2</w:t>
            </w:r>
          </w:p>
        </w:tc>
        <w:tc>
          <w:tcPr>
            <w:tcW w:w="1716" w:type="pct"/>
            <w:shd w:val="clear" w:color="auto" w:fill="auto"/>
          </w:tcPr>
          <w:p w14:paraId="4A5AA3B2" w14:textId="60F67468" w:rsidR="00DB5003" w:rsidRPr="00ED09C9" w:rsidRDefault="00ED09C9" w:rsidP="4E3B8E56">
            <w:pPr>
              <w:pStyle w:val="paragraph"/>
              <w:spacing w:before="0" w:beforeAutospacing="0" w:after="0" w:afterAutospacing="0"/>
              <w:ind w:firstLine="420"/>
              <w:jc w:val="both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4E3B8E56">
              <w:rPr>
                <w:rStyle w:val="normaltextrun"/>
                <w:sz w:val="20"/>
                <w:szCs w:val="20"/>
                <w:lang w:val="cs-CZ"/>
              </w:rPr>
              <w:t>Rozsah informací předávaných kontaktnímu místu zúčastněného státu Ústředním kontaktním místem</w:t>
            </w:r>
            <w:r w:rsidRPr="4E3B8E56">
              <w:rPr>
                <w:rStyle w:val="eop"/>
                <w:sz w:val="20"/>
                <w:szCs w:val="20"/>
              </w:rPr>
              <w:t> </w:t>
            </w:r>
          </w:p>
          <w:p w14:paraId="494239EF" w14:textId="200CC372" w:rsidR="00DB5003" w:rsidRPr="00ED09C9" w:rsidRDefault="00DB5003" w:rsidP="4E3B8E5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  <w:p w14:paraId="29FC1C9E" w14:textId="01258843" w:rsidR="00DB5003" w:rsidRPr="00ED09C9" w:rsidRDefault="1B7D49D6" w:rsidP="4E3B8E56">
            <w:pPr>
              <w:pStyle w:val="Odstavecseseznamem"/>
              <w:numPr>
                <w:ilvl w:val="0"/>
                <w:numId w:val="5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>Ústřední kontaktní orgán předá</w:t>
            </w:r>
          </w:p>
          <w:p w14:paraId="0FED7FD8" w14:textId="722C0E49" w:rsidR="00DB5003" w:rsidRPr="00ED09C9" w:rsidRDefault="1B7D49D6" w:rsidP="4E3B8E56">
            <w:pPr>
              <w:pStyle w:val="Odstavecseseznamem"/>
              <w:numPr>
                <w:ilvl w:val="0"/>
                <w:numId w:val="4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>informační přehled kontaktnímu místu zúčastněného státu, který zavedl kvalifikované pravidlo pro zahrnutí zisku nebo kvalifikované pravidlo pro nedostatečně zdaněný zisk, ze kterého je nejvyšší mateřská entita,</w:t>
            </w:r>
          </w:p>
          <w:p w14:paraId="170B761F" w14:textId="52B92F4A" w:rsidR="00DB5003" w:rsidRPr="00ED09C9" w:rsidRDefault="1B7D49D6" w:rsidP="4E3B8E56">
            <w:pPr>
              <w:pStyle w:val="Odstavecseseznamem"/>
              <w:numPr>
                <w:ilvl w:val="0"/>
                <w:numId w:val="4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 xml:space="preserve">obecný oddíl informačního přehledu kontaktnímu místu zúčastněného státu, který zavedl kvalifikované pravidlo pro zahrnutí zisku nebo kvalifikované pravidlo pro </w:t>
            </w:r>
            <w:r w:rsidRPr="4E3B8E56">
              <w:rPr>
                <w:color w:val="000000" w:themeColor="text1"/>
              </w:rPr>
              <w:lastRenderedPageBreak/>
              <w:t>nedostatečně zdaněný zisk, ze kterého je členská entita skupiny,</w:t>
            </w:r>
          </w:p>
          <w:p w14:paraId="4812EA16" w14:textId="2E90ED08" w:rsidR="00DB5003" w:rsidRPr="00ED09C9" w:rsidRDefault="1B7D49D6" w:rsidP="4E3B8E56">
            <w:pPr>
              <w:pStyle w:val="Odstavecseseznamem"/>
              <w:numPr>
                <w:ilvl w:val="0"/>
                <w:numId w:val="4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 xml:space="preserve">obecný oddíl informačního přehledu, s výjimkou souhrnných informací na vysoké úrovni, kontaktnímu místu státu, který zavedl pouze kvalifikovanou vnitrostátní dorovnávací daň, </w:t>
            </w:r>
          </w:p>
          <w:p w14:paraId="3C65C80B" w14:textId="1D1C3E92" w:rsidR="00DB5003" w:rsidRPr="00ED09C9" w:rsidRDefault="1B7D49D6" w:rsidP="4E3B8E56">
            <w:pPr>
              <w:pStyle w:val="Odstavecseseznamem"/>
              <w:numPr>
                <w:ilvl w:val="0"/>
                <w:numId w:val="3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>ze kterého je členská entita skupiny,</w:t>
            </w:r>
          </w:p>
          <w:p w14:paraId="700A890C" w14:textId="755EB8A5" w:rsidR="00DB5003" w:rsidRPr="00ED09C9" w:rsidRDefault="1B7D49D6" w:rsidP="4E3B8E56">
            <w:pPr>
              <w:pStyle w:val="Odstavecseseznamem"/>
              <w:numPr>
                <w:ilvl w:val="0"/>
                <w:numId w:val="3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 xml:space="preserve">ze kterého je společný podnik nebo členská entita skupiny společných podniků, pokud tento stát společné podniky zdaňuje kvalifikovanou vnitrostátní dorovnávací daní, </w:t>
            </w:r>
          </w:p>
          <w:p w14:paraId="5B404738" w14:textId="5F3E5ACF" w:rsidR="00DB5003" w:rsidRPr="00ED09C9" w:rsidRDefault="1B7D49D6" w:rsidP="4E3B8E56">
            <w:pPr>
              <w:pStyle w:val="Odstavecseseznamem"/>
              <w:numPr>
                <w:ilvl w:val="0"/>
                <w:numId w:val="3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>pokud tento stát zdaňuje kvalifikovanou vnitrostátní dorovnávací daní entitu, která není z žádného státu,</w:t>
            </w:r>
          </w:p>
          <w:p w14:paraId="3DD60BE9" w14:textId="6624CD88" w:rsidR="00DB5003" w:rsidRPr="00ED09C9" w:rsidRDefault="1B7D49D6" w:rsidP="4E3B8E56">
            <w:pPr>
              <w:pStyle w:val="Odstavecseseznamem"/>
              <w:numPr>
                <w:ilvl w:val="0"/>
                <w:numId w:val="4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>kontaktnímu místu zúčastněného státu, který má právo na zdanění dorovnávací daní ve vztahu ke skupině, jurisdikční část informačního přehledu.</w:t>
            </w:r>
          </w:p>
          <w:p w14:paraId="5DA02D65" w14:textId="10D5E9E4" w:rsidR="00DB5003" w:rsidRPr="00ED09C9" w:rsidRDefault="1B7D49D6" w:rsidP="4E3B8E56">
            <w:pPr>
              <w:pStyle w:val="Odstavecseseznamem"/>
              <w:numPr>
                <w:ilvl w:val="0"/>
                <w:numId w:val="5"/>
              </w:numPr>
              <w:spacing w:after="160" w:line="279" w:lineRule="auto"/>
              <w:rPr>
                <w:color w:val="000000" w:themeColor="text1"/>
                <w:lang w:val="en-GB"/>
              </w:rPr>
            </w:pPr>
            <w:r w:rsidRPr="4E3B8E56">
              <w:rPr>
                <w:color w:val="000000" w:themeColor="text1"/>
              </w:rPr>
              <w:t>Pokud má provádějící stát zavedené pravidlo pro nedostatečně zdaněný zisk a jeho podíl na celkové dorovnávací dani nadnárodní skupiny je nulový, odstavec 2 písm. d) se nepoužije a ústřední kontaktní orgán předá kontaktnímu místu tohoto zúčastněného státu pouze tu část informačního přehledu, která obsahuje informace o přiřazení dorovnávací daně podle pravidla pro nedostatečně zdaněný zisk ve vztahu k tomuto zúčastněnému státu.</w:t>
            </w:r>
          </w:p>
          <w:p w14:paraId="6326C371" w14:textId="66EAF7B7" w:rsidR="00DB5003" w:rsidRPr="00ED09C9" w:rsidRDefault="00DB5003" w:rsidP="4E3B8E5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</w:tcPr>
          <w:p w14:paraId="6124BD09" w14:textId="058C60EB" w:rsidR="00DB5003" w:rsidRPr="005E5D62" w:rsidRDefault="00562370" w:rsidP="00DB5003">
            <w:pPr>
              <w:spacing w:before="60"/>
              <w:rPr>
                <w:b/>
                <w:bCs/>
              </w:rPr>
            </w:pPr>
            <w:r w:rsidRPr="00DB2D00">
              <w:rPr>
                <w:szCs w:val="21"/>
                <w:shd w:val="clear" w:color="auto" w:fill="FFFFFF"/>
              </w:rPr>
              <w:lastRenderedPageBreak/>
              <w:t>32025L0872</w:t>
            </w:r>
          </w:p>
        </w:tc>
        <w:tc>
          <w:tcPr>
            <w:tcW w:w="402" w:type="pct"/>
            <w:shd w:val="clear" w:color="auto" w:fill="auto"/>
          </w:tcPr>
          <w:p w14:paraId="6480530D" w14:textId="20A2B01C" w:rsidR="00ED09C9" w:rsidRDefault="00ED09C9" w:rsidP="00DB5003">
            <w:pPr>
              <w:spacing w:before="60"/>
            </w:pPr>
            <w:r>
              <w:t>Článek 1 bod 3</w:t>
            </w:r>
          </w:p>
          <w:p w14:paraId="04617693" w14:textId="18C20268" w:rsidR="00ED09C9" w:rsidRPr="005E5D62" w:rsidRDefault="00ED09C9" w:rsidP="00ED09C9">
            <w:pPr>
              <w:spacing w:before="60"/>
            </w:pPr>
            <w:r>
              <w:t>(</w:t>
            </w:r>
            <w:r w:rsidR="00DB5003" w:rsidRPr="005E5D62">
              <w:t>Článek</w:t>
            </w:r>
            <w:r>
              <w:t xml:space="preserve"> 8ae odst. 2)</w:t>
            </w:r>
          </w:p>
          <w:p w14:paraId="5974ED31" w14:textId="36E97F14" w:rsidR="00DB5003" w:rsidRPr="005E5D62" w:rsidRDefault="00DB5003" w:rsidP="00DB5003">
            <w:pPr>
              <w:spacing w:before="60"/>
            </w:pPr>
          </w:p>
        </w:tc>
        <w:tc>
          <w:tcPr>
            <w:tcW w:w="1984" w:type="pct"/>
            <w:shd w:val="clear" w:color="auto" w:fill="auto"/>
          </w:tcPr>
          <w:p w14:paraId="701C3EAE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r w:rsidRPr="00ED09C9">
              <w:rPr>
                <w:lang w:eastAsia="en-GB"/>
              </w:rPr>
              <w:t>2. Příslušný orgán členského státu, který obdržel informační přehled k dorovnávací dani podaný nejvyšším mateřským subjektem nebo určeným podávajícím subjektem, jak je uvedeno v čl. 44 odst. 3 písm. a) a b) směrnice (EU) 2022/2523, sdělí prostřednictvím automatické výměny a v souladu s níže uvedeným způsobem šíření informací:</w:t>
            </w:r>
          </w:p>
          <w:p w14:paraId="069D845D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r w:rsidRPr="00ED09C9">
              <w:rPr>
                <w:lang w:eastAsia="en-GB"/>
              </w:rPr>
              <w:t>a) obecný oddíl informačního přehledu k dorovnávací dani provádějícímu členskému státu, v němž se nacházejí nejvyšší mateřský subjekt nebo členské subjekty nadnárodní skupiny podniků;</w:t>
            </w:r>
          </w:p>
          <w:p w14:paraId="63EB8DAB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r w:rsidRPr="00ED09C9">
              <w:rPr>
                <w:lang w:eastAsia="en-GB"/>
              </w:rPr>
              <w:t>b) obecný oddíl informačního přehledu k dorovnávací dani, s výjimkou souhrnných informací na vysoké úrovni v oddíle 1.4 tohoto přehledu, členským státům pouze s kvalifikovanou vnitrostátní dorovnávací daní:</w:t>
            </w:r>
          </w:p>
          <w:p w14:paraId="5EA6C790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r w:rsidRPr="00ED09C9">
              <w:rPr>
                <w:lang w:eastAsia="en-GB"/>
              </w:rPr>
              <w:t>i) v nichž se nacházejí členské subjekty nadnárodní skupiny podniků;</w:t>
            </w:r>
          </w:p>
          <w:p w14:paraId="3F42D57A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proofErr w:type="spellStart"/>
            <w:r w:rsidRPr="00ED09C9">
              <w:rPr>
                <w:lang w:eastAsia="en-GB"/>
              </w:rPr>
              <w:lastRenderedPageBreak/>
              <w:t>ii</w:t>
            </w:r>
            <w:proofErr w:type="spellEnd"/>
            <w:r w:rsidRPr="00ED09C9">
              <w:rPr>
                <w:lang w:eastAsia="en-GB"/>
              </w:rPr>
              <w:t>) v nichž se nachází společný podnik nebo člen skupiny společných podniků nadnárodní skupiny podniků, pokud je kvalifikovaná vnitrostátní dorovnávací daň uložena společným podnikům v daném členském státě;</w:t>
            </w:r>
          </w:p>
          <w:p w14:paraId="02046DF5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proofErr w:type="spellStart"/>
            <w:r w:rsidRPr="00ED09C9">
              <w:rPr>
                <w:lang w:eastAsia="en-GB"/>
              </w:rPr>
              <w:t>iii</w:t>
            </w:r>
            <w:proofErr w:type="spellEnd"/>
            <w:r w:rsidRPr="00ED09C9">
              <w:rPr>
                <w:lang w:eastAsia="en-GB"/>
              </w:rPr>
              <w:t>) v nichž je kvalifikovaná vnitrostátní dorovnávací daň uložena v daném členském státě členskému subjektu bez státní příslušnosti nebo společnému podniku bez státní příslušnosti nadnárodní skupiny podniků;</w:t>
            </w:r>
          </w:p>
          <w:p w14:paraId="7EFB1229" w14:textId="77777777" w:rsidR="00ED09C9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r w:rsidRPr="00ED09C9">
              <w:rPr>
                <w:lang w:eastAsia="en-GB"/>
              </w:rPr>
              <w:t>c) jeden nebo více jurisdikčních oddílů informačního přehledu k dorovnávací dani členským státům, které mají práva zdanění podle směrnice (EU) 2022/2523 včetně kvalifikované vnitrostátní dorovnávací daně, pokud jde o členské státy, k nimž se tyto jurisdikční oddíly vztahují.</w:t>
            </w:r>
          </w:p>
          <w:p w14:paraId="75BC525B" w14:textId="7D03C830" w:rsidR="00DB5003" w:rsidRPr="00ED09C9" w:rsidRDefault="00ED09C9" w:rsidP="00ED09C9">
            <w:pPr>
              <w:shd w:val="clear" w:color="auto" w:fill="FFFFFF"/>
              <w:overflowPunct/>
              <w:autoSpaceDE/>
              <w:autoSpaceDN/>
              <w:adjustRightInd/>
              <w:spacing w:before="120" w:line="0" w:lineRule="atLeast"/>
              <w:textAlignment w:val="auto"/>
              <w:rPr>
                <w:lang w:eastAsia="en-GB"/>
              </w:rPr>
            </w:pPr>
            <w:r w:rsidRPr="00ED09C9">
              <w:rPr>
                <w:lang w:eastAsia="en-GB"/>
              </w:rPr>
              <w:t>Bez ohledu na první pododstavec písm. c) se jurisdikcím s pravidlem pro nedostatečně zdaněný zisk, jež mají nulový procentní podíl podle zmíněného pravidla, poskytne pouze ta část informačního přehledu k dorovnávací dani, která obsahuje informace o přiřazení dorovnávací daně podle pravidla pro nedostatečně zdaněný zisk ve vztahu k této jurisdikci, přičemž tyto informace jsou v souladu s výňatkem z oddílu 3.4.3 informačního přehledu k dorovnávací dani, a provádějícímu členskému státu, v němž se nachází nejvyšší mateřský subjekt, se poskytnou všechny jurisdikční oddíly.</w:t>
            </w:r>
          </w:p>
        </w:tc>
      </w:tr>
    </w:tbl>
    <w:p w14:paraId="782223C5" w14:textId="522284E8" w:rsidR="00A93F5C" w:rsidRPr="004F1D63" w:rsidRDefault="00A93F5C">
      <w:pPr>
        <w:overflowPunct/>
        <w:autoSpaceDE/>
        <w:autoSpaceDN/>
        <w:adjustRightInd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2142"/>
        <w:gridCol w:w="12507"/>
      </w:tblGrid>
      <w:tr w:rsidR="00C167B7" w:rsidRPr="004F1D63" w14:paraId="50040116" w14:textId="77777777" w:rsidTr="00762A97">
        <w:trPr>
          <w:cantSplit/>
        </w:trPr>
        <w:tc>
          <w:tcPr>
            <w:tcW w:w="240" w:type="pct"/>
            <w:shd w:val="clear" w:color="auto" w:fill="D9D9D9" w:themeFill="background1" w:themeFillShade="D9"/>
          </w:tcPr>
          <w:p w14:paraId="3321EBAB" w14:textId="16F40881" w:rsidR="00D41B34" w:rsidRPr="004F1D63" w:rsidRDefault="00D65647" w:rsidP="00762A97">
            <w:pPr>
              <w:keepNext/>
              <w:spacing w:before="60" w:after="60"/>
              <w:ind w:right="43"/>
              <w:jc w:val="center"/>
              <w:rPr>
                <w:b/>
                <w:bCs/>
              </w:rPr>
            </w:pPr>
            <w:proofErr w:type="spellStart"/>
            <w:r w:rsidRPr="004F1D63">
              <w:rPr>
                <w:b/>
                <w:bCs/>
              </w:rPr>
              <w:lastRenderedPageBreak/>
              <w:t>Poř.č</w:t>
            </w:r>
            <w:proofErr w:type="spellEnd"/>
            <w:r w:rsidRPr="004F1D63">
              <w:rPr>
                <w:b/>
                <w:bCs/>
              </w:rPr>
              <w:t>.</w:t>
            </w:r>
          </w:p>
        </w:tc>
        <w:tc>
          <w:tcPr>
            <w:tcW w:w="696" w:type="pct"/>
            <w:shd w:val="clear" w:color="auto" w:fill="D9D9D9" w:themeFill="background1" w:themeFillShade="D9"/>
          </w:tcPr>
          <w:p w14:paraId="50C33D98" w14:textId="0A7B3160" w:rsidR="00D41B34" w:rsidRPr="004F1D63" w:rsidRDefault="00D41B34" w:rsidP="00DF31BC">
            <w:pPr>
              <w:spacing w:before="60" w:after="60"/>
              <w:jc w:val="center"/>
              <w:rPr>
                <w:b/>
                <w:bCs/>
              </w:rPr>
            </w:pPr>
            <w:r w:rsidRPr="004F1D63">
              <w:rPr>
                <w:b/>
                <w:bCs/>
              </w:rPr>
              <w:t>Číslo předpisu EU (kód CELEX)</w:t>
            </w:r>
          </w:p>
        </w:tc>
        <w:tc>
          <w:tcPr>
            <w:tcW w:w="4064" w:type="pct"/>
            <w:shd w:val="clear" w:color="auto" w:fill="D9D9D9" w:themeFill="background1" w:themeFillShade="D9"/>
          </w:tcPr>
          <w:p w14:paraId="6D1EC1F7" w14:textId="77777777" w:rsidR="00D41B34" w:rsidRPr="004F1D63" w:rsidRDefault="00D41B34" w:rsidP="00DF31BC">
            <w:pPr>
              <w:spacing w:before="60" w:after="60"/>
              <w:jc w:val="center"/>
              <w:rPr>
                <w:b/>
                <w:bCs/>
              </w:rPr>
            </w:pPr>
            <w:r w:rsidRPr="004F1D63">
              <w:rPr>
                <w:b/>
                <w:bCs/>
              </w:rPr>
              <w:t>Název předpisu EU</w:t>
            </w:r>
          </w:p>
        </w:tc>
      </w:tr>
      <w:tr w:rsidR="00DB39DE" w:rsidRPr="00C167B7" w14:paraId="5BDCEC52" w14:textId="77777777" w:rsidTr="00762A97">
        <w:trPr>
          <w:cantSplit/>
        </w:trPr>
        <w:tc>
          <w:tcPr>
            <w:tcW w:w="240" w:type="pct"/>
            <w:vAlign w:val="center"/>
          </w:tcPr>
          <w:p w14:paraId="2A0F4D9D" w14:textId="77777777" w:rsidR="00DB39DE" w:rsidRPr="004F1D63" w:rsidRDefault="00DB39DE" w:rsidP="00DB39DE">
            <w:pPr>
              <w:pStyle w:val="Odstavecseseznamem"/>
              <w:numPr>
                <w:ilvl w:val="0"/>
                <w:numId w:val="11"/>
              </w:numPr>
              <w:spacing w:before="60" w:after="60"/>
              <w:ind w:left="0" w:right="43" w:firstLine="0"/>
              <w:contextualSpacing w:val="0"/>
              <w:jc w:val="center"/>
            </w:pPr>
          </w:p>
        </w:tc>
        <w:tc>
          <w:tcPr>
            <w:tcW w:w="696" w:type="pct"/>
          </w:tcPr>
          <w:p w14:paraId="28215142" w14:textId="21788C23" w:rsidR="00DB39DE" w:rsidRPr="004F1D63" w:rsidRDefault="0071733C" w:rsidP="00DB39DE">
            <w:pPr>
              <w:spacing w:before="60" w:after="60"/>
            </w:pPr>
            <w:r>
              <w:t>32025L0872</w:t>
            </w:r>
          </w:p>
        </w:tc>
        <w:tc>
          <w:tcPr>
            <w:tcW w:w="4064" w:type="pct"/>
          </w:tcPr>
          <w:p w14:paraId="213726EC" w14:textId="556778C8" w:rsidR="00DB39DE" w:rsidRPr="004F1D63" w:rsidRDefault="00DB39DE" w:rsidP="00DB39DE">
            <w:pPr>
              <w:spacing w:before="60" w:after="60"/>
            </w:pPr>
            <w:r w:rsidRPr="004F1D63">
              <w:t xml:space="preserve">Směrnice Rady (EU) </w:t>
            </w:r>
            <w:r w:rsidR="00826942">
              <w:t>2025/872</w:t>
            </w:r>
            <w:r w:rsidRPr="004F1D63">
              <w:t xml:space="preserve"> ze dne </w:t>
            </w:r>
            <w:r w:rsidR="00826942">
              <w:t>14</w:t>
            </w:r>
            <w:r w:rsidRPr="004F1D63">
              <w:t>. dubna 2025, kterou se mění směrnice 2011/16/EU o správní spolupráci v oblasti daní</w:t>
            </w:r>
          </w:p>
        </w:tc>
      </w:tr>
    </w:tbl>
    <w:p w14:paraId="0C111764" w14:textId="20AC8CF2" w:rsidR="00946938" w:rsidRPr="00C167B7" w:rsidRDefault="00946938" w:rsidP="00762A97"/>
    <w:sectPr w:rsidR="00946938" w:rsidRPr="00C167B7" w:rsidSect="00DE03EE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720" w:right="720" w:bottom="709" w:left="720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9D388" w14:textId="77777777" w:rsidR="002051D2" w:rsidRDefault="002051D2">
      <w:r>
        <w:separator/>
      </w:r>
    </w:p>
  </w:endnote>
  <w:endnote w:type="continuationSeparator" w:id="0">
    <w:p w14:paraId="39D079A4" w14:textId="77777777" w:rsidR="002051D2" w:rsidRDefault="002051D2">
      <w:r>
        <w:continuationSeparator/>
      </w:r>
    </w:p>
  </w:endnote>
  <w:endnote w:type="continuationNotice" w:id="1">
    <w:p w14:paraId="1AD07595" w14:textId="77777777" w:rsidR="002051D2" w:rsidRDefault="00205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_New_Roman+2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8263E" w14:textId="77777777" w:rsidR="00444155" w:rsidRDefault="0044415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880192C" w14:textId="77777777" w:rsidR="00444155" w:rsidRDefault="004441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654286"/>
      <w:docPartObj>
        <w:docPartGallery w:val="Page Numbers (Bottom of Page)"/>
        <w:docPartUnique/>
      </w:docPartObj>
    </w:sdtPr>
    <w:sdtEndPr/>
    <w:sdtContent>
      <w:p w14:paraId="1F18A421" w14:textId="6835484A" w:rsidR="00444155" w:rsidRDefault="00444155" w:rsidP="00A970B4">
        <w:pPr>
          <w:pStyle w:val="Zpat"/>
          <w:framePr w:wrap="around" w:vAnchor="text" w:hAnchor="margin" w:xAlign="center" w:y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4E7">
          <w:rPr>
            <w:noProof/>
          </w:rPr>
          <w:t>2</w:t>
        </w:r>
        <w:r>
          <w:fldChar w:fldCharType="end"/>
        </w:r>
      </w:p>
    </w:sdtContent>
  </w:sdt>
  <w:p w14:paraId="0F5D5258" w14:textId="77777777" w:rsidR="00444155" w:rsidRDefault="00444155" w:rsidP="001B4C5C">
    <w:pPr>
      <w:pStyle w:val="Zpat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6494" w14:textId="77777777" w:rsidR="002051D2" w:rsidRDefault="002051D2">
      <w:r>
        <w:separator/>
      </w:r>
    </w:p>
  </w:footnote>
  <w:footnote w:type="continuationSeparator" w:id="0">
    <w:p w14:paraId="080B446D" w14:textId="77777777" w:rsidR="002051D2" w:rsidRDefault="002051D2">
      <w:r>
        <w:continuationSeparator/>
      </w:r>
    </w:p>
  </w:footnote>
  <w:footnote w:type="continuationNotice" w:id="1">
    <w:p w14:paraId="21071EB3" w14:textId="77777777" w:rsidR="002051D2" w:rsidRDefault="002051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B59E0" w14:textId="6C38BFFE" w:rsidR="00444155" w:rsidRPr="00FF02B7" w:rsidRDefault="00444155" w:rsidP="00FF02B7">
    <w:pPr>
      <w:pStyle w:val="Zhlav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C02F7" w14:textId="4B12BD8E" w:rsidR="00444155" w:rsidRPr="00792B14" w:rsidRDefault="00A7561F" w:rsidP="00762A97">
    <w:pPr>
      <w:pStyle w:val="Zhlav"/>
      <w:tabs>
        <w:tab w:val="clear" w:pos="4536"/>
        <w:tab w:val="clear" w:pos="9072"/>
        <w:tab w:val="left" w:pos="13200"/>
      </w:tabs>
      <w:jc w:val="right"/>
      <w:rPr>
        <w:b/>
      </w:rPr>
    </w:pPr>
    <w:r>
      <w:rPr>
        <w:b/>
      </w:rPr>
      <w:t>IV.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singleLevel"/>
    <w:tmpl w:val="95BA8B22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b/>
        <w:i w:val="0"/>
        <w:strike w:val="0"/>
      </w:rPr>
    </w:lvl>
  </w:abstractNum>
  <w:abstractNum w:abstractNumId="1" w15:restartNumberingAfterBreak="0">
    <w:nsid w:val="00000014"/>
    <w:multiLevelType w:val="multilevel"/>
    <w:tmpl w:val="EBDA8F54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left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left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6D00F63"/>
    <w:multiLevelType w:val="multilevel"/>
    <w:tmpl w:val="E68C1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4" w15:restartNumberingAfterBreak="0">
    <w:nsid w:val="22943FED"/>
    <w:multiLevelType w:val="multilevel"/>
    <w:tmpl w:val="6C6CD3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A01DA"/>
    <w:multiLevelType w:val="multilevel"/>
    <w:tmpl w:val="79CAAC9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AC602A"/>
    <w:multiLevelType w:val="multilevel"/>
    <w:tmpl w:val="D206A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E85E83"/>
    <w:multiLevelType w:val="multilevel"/>
    <w:tmpl w:val="EBDA8F54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Textbodu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8FA3F89"/>
    <w:multiLevelType w:val="hybridMultilevel"/>
    <w:tmpl w:val="48E632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01AD6"/>
    <w:multiLevelType w:val="multilevel"/>
    <w:tmpl w:val="D206A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E067DD"/>
    <w:multiLevelType w:val="multilevel"/>
    <w:tmpl w:val="971477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FB3929"/>
    <w:multiLevelType w:val="hybridMultilevel"/>
    <w:tmpl w:val="14E60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50E3A"/>
    <w:multiLevelType w:val="multilevel"/>
    <w:tmpl w:val="E68C1D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2305D3"/>
    <w:multiLevelType w:val="multilevel"/>
    <w:tmpl w:val="E68C1D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BE59A3"/>
    <w:multiLevelType w:val="hybridMultilevel"/>
    <w:tmpl w:val="5E24E9C8"/>
    <w:lvl w:ilvl="0" w:tplc="377AA922">
      <w:start w:val="1"/>
      <w:numFmt w:val="lowerLetter"/>
      <w:lvlText w:val="%1)"/>
      <w:lvlJc w:val="left"/>
      <w:pPr>
        <w:ind w:left="1418" w:hanging="710"/>
      </w:pPr>
    </w:lvl>
    <w:lvl w:ilvl="1" w:tplc="F19C9B88">
      <w:start w:val="1"/>
      <w:numFmt w:val="lowerLetter"/>
      <w:lvlText w:val="%2."/>
      <w:lvlJc w:val="left"/>
      <w:pPr>
        <w:ind w:left="1440" w:hanging="360"/>
      </w:pPr>
    </w:lvl>
    <w:lvl w:ilvl="2" w:tplc="5B80BC68">
      <w:start w:val="1"/>
      <w:numFmt w:val="lowerRoman"/>
      <w:lvlText w:val="%3."/>
      <w:lvlJc w:val="right"/>
      <w:pPr>
        <w:ind w:left="2160" w:hanging="180"/>
      </w:pPr>
    </w:lvl>
    <w:lvl w:ilvl="3" w:tplc="86BECBDE">
      <w:start w:val="1"/>
      <w:numFmt w:val="decimal"/>
      <w:lvlText w:val="%4."/>
      <w:lvlJc w:val="left"/>
      <w:pPr>
        <w:ind w:left="2880" w:hanging="360"/>
      </w:pPr>
    </w:lvl>
    <w:lvl w:ilvl="4" w:tplc="997E014C">
      <w:start w:val="1"/>
      <w:numFmt w:val="lowerLetter"/>
      <w:lvlText w:val="%5."/>
      <w:lvlJc w:val="left"/>
      <w:pPr>
        <w:ind w:left="3600" w:hanging="360"/>
      </w:pPr>
    </w:lvl>
    <w:lvl w:ilvl="5" w:tplc="14B81CDC">
      <w:start w:val="1"/>
      <w:numFmt w:val="lowerRoman"/>
      <w:lvlText w:val="%6."/>
      <w:lvlJc w:val="right"/>
      <w:pPr>
        <w:ind w:left="4320" w:hanging="180"/>
      </w:pPr>
    </w:lvl>
    <w:lvl w:ilvl="6" w:tplc="69E4B1E8">
      <w:start w:val="1"/>
      <w:numFmt w:val="decimal"/>
      <w:lvlText w:val="%7."/>
      <w:lvlJc w:val="left"/>
      <w:pPr>
        <w:ind w:left="5040" w:hanging="360"/>
      </w:pPr>
    </w:lvl>
    <w:lvl w:ilvl="7" w:tplc="C8FE3BA2">
      <w:start w:val="1"/>
      <w:numFmt w:val="lowerLetter"/>
      <w:lvlText w:val="%8."/>
      <w:lvlJc w:val="left"/>
      <w:pPr>
        <w:ind w:left="5760" w:hanging="360"/>
      </w:pPr>
    </w:lvl>
    <w:lvl w:ilvl="8" w:tplc="0C94CA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E3D96"/>
    <w:multiLevelType w:val="hybridMultilevel"/>
    <w:tmpl w:val="EE84E3DC"/>
    <w:lvl w:ilvl="0" w:tplc="8A041B66">
      <w:start w:val="3"/>
      <w:numFmt w:val="bullet"/>
      <w:lvlText w:val="—"/>
      <w:lvlJc w:val="left"/>
      <w:pPr>
        <w:ind w:left="1080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4A0569"/>
    <w:multiLevelType w:val="hybridMultilevel"/>
    <w:tmpl w:val="B0846C0C"/>
    <w:lvl w:ilvl="0" w:tplc="94645A6A">
      <w:start w:val="4"/>
      <w:numFmt w:val="lowerLetter"/>
      <w:lvlText w:val="%1)"/>
      <w:lvlJc w:val="left"/>
      <w:pPr>
        <w:ind w:left="1418" w:hanging="710"/>
      </w:pPr>
    </w:lvl>
    <w:lvl w:ilvl="1" w:tplc="F23232A6">
      <w:start w:val="1"/>
      <w:numFmt w:val="lowerLetter"/>
      <w:lvlText w:val="%2."/>
      <w:lvlJc w:val="left"/>
      <w:pPr>
        <w:ind w:left="1440" w:hanging="360"/>
      </w:pPr>
    </w:lvl>
    <w:lvl w:ilvl="2" w:tplc="7C5E8CD0">
      <w:start w:val="1"/>
      <w:numFmt w:val="lowerRoman"/>
      <w:lvlText w:val="%3."/>
      <w:lvlJc w:val="right"/>
      <w:pPr>
        <w:ind w:left="2160" w:hanging="180"/>
      </w:pPr>
    </w:lvl>
    <w:lvl w:ilvl="3" w:tplc="97229AE2">
      <w:start w:val="1"/>
      <w:numFmt w:val="decimal"/>
      <w:lvlText w:val="%4."/>
      <w:lvlJc w:val="left"/>
      <w:pPr>
        <w:ind w:left="2880" w:hanging="360"/>
      </w:pPr>
    </w:lvl>
    <w:lvl w:ilvl="4" w:tplc="766C68BA">
      <w:start w:val="1"/>
      <w:numFmt w:val="lowerLetter"/>
      <w:lvlText w:val="%5."/>
      <w:lvlJc w:val="left"/>
      <w:pPr>
        <w:ind w:left="3600" w:hanging="360"/>
      </w:pPr>
    </w:lvl>
    <w:lvl w:ilvl="5" w:tplc="1CF66208">
      <w:start w:val="1"/>
      <w:numFmt w:val="lowerRoman"/>
      <w:lvlText w:val="%6."/>
      <w:lvlJc w:val="right"/>
      <w:pPr>
        <w:ind w:left="4320" w:hanging="180"/>
      </w:pPr>
    </w:lvl>
    <w:lvl w:ilvl="6" w:tplc="2CFE67F8">
      <w:start w:val="1"/>
      <w:numFmt w:val="decimal"/>
      <w:lvlText w:val="%7."/>
      <w:lvlJc w:val="left"/>
      <w:pPr>
        <w:ind w:left="5040" w:hanging="360"/>
      </w:pPr>
    </w:lvl>
    <w:lvl w:ilvl="7" w:tplc="19508104">
      <w:start w:val="1"/>
      <w:numFmt w:val="lowerLetter"/>
      <w:lvlText w:val="%8."/>
      <w:lvlJc w:val="left"/>
      <w:pPr>
        <w:ind w:left="5760" w:hanging="360"/>
      </w:pPr>
    </w:lvl>
    <w:lvl w:ilvl="8" w:tplc="DB18DA5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DC2D1"/>
    <w:multiLevelType w:val="hybridMultilevel"/>
    <w:tmpl w:val="FE5CDC50"/>
    <w:lvl w:ilvl="0" w:tplc="7ABE6074">
      <w:start w:val="2"/>
      <w:numFmt w:val="decimal"/>
      <w:lvlText w:val="%1."/>
      <w:lvlJc w:val="left"/>
      <w:pPr>
        <w:ind w:left="720" w:hanging="360"/>
      </w:pPr>
    </w:lvl>
    <w:lvl w:ilvl="1" w:tplc="DFECF1CA">
      <w:start w:val="1"/>
      <w:numFmt w:val="lowerLetter"/>
      <w:lvlText w:val="%2."/>
      <w:lvlJc w:val="left"/>
      <w:pPr>
        <w:ind w:left="1440" w:hanging="360"/>
      </w:pPr>
    </w:lvl>
    <w:lvl w:ilvl="2" w:tplc="55CE4946">
      <w:start w:val="1"/>
      <w:numFmt w:val="lowerRoman"/>
      <w:lvlText w:val="%3."/>
      <w:lvlJc w:val="right"/>
      <w:pPr>
        <w:ind w:left="2160" w:hanging="180"/>
      </w:pPr>
    </w:lvl>
    <w:lvl w:ilvl="3" w:tplc="5086B18C">
      <w:start w:val="1"/>
      <w:numFmt w:val="decimal"/>
      <w:lvlText w:val="%4."/>
      <w:lvlJc w:val="left"/>
      <w:pPr>
        <w:ind w:left="2880" w:hanging="360"/>
      </w:pPr>
    </w:lvl>
    <w:lvl w:ilvl="4" w:tplc="CB028CAC">
      <w:start w:val="1"/>
      <w:numFmt w:val="lowerLetter"/>
      <w:lvlText w:val="%5."/>
      <w:lvlJc w:val="left"/>
      <w:pPr>
        <w:ind w:left="3600" w:hanging="360"/>
      </w:pPr>
    </w:lvl>
    <w:lvl w:ilvl="5" w:tplc="1510871C">
      <w:start w:val="1"/>
      <w:numFmt w:val="lowerRoman"/>
      <w:lvlText w:val="%6."/>
      <w:lvlJc w:val="right"/>
      <w:pPr>
        <w:ind w:left="4320" w:hanging="180"/>
      </w:pPr>
    </w:lvl>
    <w:lvl w:ilvl="6" w:tplc="DDD48C18">
      <w:start w:val="1"/>
      <w:numFmt w:val="decimal"/>
      <w:lvlText w:val="%7."/>
      <w:lvlJc w:val="left"/>
      <w:pPr>
        <w:ind w:left="5040" w:hanging="360"/>
      </w:pPr>
    </w:lvl>
    <w:lvl w:ilvl="7" w:tplc="0C24FD3C">
      <w:start w:val="1"/>
      <w:numFmt w:val="lowerLetter"/>
      <w:lvlText w:val="%8."/>
      <w:lvlJc w:val="left"/>
      <w:pPr>
        <w:ind w:left="5760" w:hanging="360"/>
      </w:pPr>
    </w:lvl>
    <w:lvl w:ilvl="8" w:tplc="90323DA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34076"/>
    <w:multiLevelType w:val="multilevel"/>
    <w:tmpl w:val="E68C1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94EE23"/>
    <w:multiLevelType w:val="hybridMultilevel"/>
    <w:tmpl w:val="163C6CE8"/>
    <w:lvl w:ilvl="0" w:tplc="648E0224">
      <w:start w:val="1"/>
      <w:numFmt w:val="decimal"/>
      <w:lvlText w:val="%1."/>
      <w:lvlJc w:val="left"/>
      <w:pPr>
        <w:ind w:left="2126" w:hanging="710"/>
      </w:pPr>
    </w:lvl>
    <w:lvl w:ilvl="1" w:tplc="565EE750">
      <w:start w:val="1"/>
      <w:numFmt w:val="lowerLetter"/>
      <w:lvlText w:val="%2."/>
      <w:lvlJc w:val="left"/>
      <w:pPr>
        <w:ind w:left="1440" w:hanging="360"/>
      </w:pPr>
    </w:lvl>
    <w:lvl w:ilvl="2" w:tplc="6E2E4E4E">
      <w:start w:val="1"/>
      <w:numFmt w:val="lowerRoman"/>
      <w:lvlText w:val="%3."/>
      <w:lvlJc w:val="right"/>
      <w:pPr>
        <w:ind w:left="2160" w:hanging="180"/>
      </w:pPr>
    </w:lvl>
    <w:lvl w:ilvl="3" w:tplc="64929D12">
      <w:start w:val="1"/>
      <w:numFmt w:val="decimal"/>
      <w:lvlText w:val="%4."/>
      <w:lvlJc w:val="left"/>
      <w:pPr>
        <w:ind w:left="2880" w:hanging="360"/>
      </w:pPr>
    </w:lvl>
    <w:lvl w:ilvl="4" w:tplc="38BAC802">
      <w:start w:val="1"/>
      <w:numFmt w:val="lowerLetter"/>
      <w:lvlText w:val="%5."/>
      <w:lvlJc w:val="left"/>
      <w:pPr>
        <w:ind w:left="3600" w:hanging="360"/>
      </w:pPr>
    </w:lvl>
    <w:lvl w:ilvl="5" w:tplc="9440F5A6">
      <w:start w:val="1"/>
      <w:numFmt w:val="lowerRoman"/>
      <w:lvlText w:val="%6."/>
      <w:lvlJc w:val="right"/>
      <w:pPr>
        <w:ind w:left="4320" w:hanging="180"/>
      </w:pPr>
    </w:lvl>
    <w:lvl w:ilvl="6" w:tplc="6FB02656">
      <w:start w:val="1"/>
      <w:numFmt w:val="decimal"/>
      <w:lvlText w:val="%7."/>
      <w:lvlJc w:val="left"/>
      <w:pPr>
        <w:ind w:left="5040" w:hanging="360"/>
      </w:pPr>
    </w:lvl>
    <w:lvl w:ilvl="7" w:tplc="1654E90A">
      <w:start w:val="1"/>
      <w:numFmt w:val="lowerLetter"/>
      <w:lvlText w:val="%8."/>
      <w:lvlJc w:val="left"/>
      <w:pPr>
        <w:ind w:left="5760" w:hanging="360"/>
      </w:pPr>
    </w:lvl>
    <w:lvl w:ilvl="8" w:tplc="C77C5A7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24971"/>
    <w:multiLevelType w:val="multilevel"/>
    <w:tmpl w:val="6BB436B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883FEE"/>
    <w:multiLevelType w:val="multilevel"/>
    <w:tmpl w:val="E68C1D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245363"/>
    <w:multiLevelType w:val="multilevel"/>
    <w:tmpl w:val="A5B6C27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AD13A8"/>
    <w:multiLevelType w:val="hybridMultilevel"/>
    <w:tmpl w:val="6B2E5FD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0BA4A1"/>
    <w:multiLevelType w:val="hybridMultilevel"/>
    <w:tmpl w:val="21900D82"/>
    <w:lvl w:ilvl="0" w:tplc="834C9DBA">
      <w:start w:val="3"/>
      <w:numFmt w:val="decimal"/>
      <w:lvlText w:val="%1."/>
      <w:lvlJc w:val="left"/>
      <w:pPr>
        <w:ind w:left="720" w:hanging="360"/>
      </w:pPr>
    </w:lvl>
    <w:lvl w:ilvl="1" w:tplc="92149D92">
      <w:start w:val="1"/>
      <w:numFmt w:val="lowerLetter"/>
      <w:lvlText w:val="%2."/>
      <w:lvlJc w:val="left"/>
      <w:pPr>
        <w:ind w:left="1440" w:hanging="360"/>
      </w:pPr>
    </w:lvl>
    <w:lvl w:ilvl="2" w:tplc="9096761A">
      <w:start w:val="1"/>
      <w:numFmt w:val="lowerRoman"/>
      <w:lvlText w:val="%3."/>
      <w:lvlJc w:val="right"/>
      <w:pPr>
        <w:ind w:left="2160" w:hanging="180"/>
      </w:pPr>
    </w:lvl>
    <w:lvl w:ilvl="3" w:tplc="3A4848CE">
      <w:start w:val="1"/>
      <w:numFmt w:val="decimal"/>
      <w:lvlText w:val="%4."/>
      <w:lvlJc w:val="left"/>
      <w:pPr>
        <w:ind w:left="2880" w:hanging="360"/>
      </w:pPr>
    </w:lvl>
    <w:lvl w:ilvl="4" w:tplc="6FD8132C">
      <w:start w:val="1"/>
      <w:numFmt w:val="lowerLetter"/>
      <w:lvlText w:val="%5."/>
      <w:lvlJc w:val="left"/>
      <w:pPr>
        <w:ind w:left="3600" w:hanging="360"/>
      </w:pPr>
    </w:lvl>
    <w:lvl w:ilvl="5" w:tplc="E898B294">
      <w:start w:val="1"/>
      <w:numFmt w:val="lowerRoman"/>
      <w:lvlText w:val="%6."/>
      <w:lvlJc w:val="right"/>
      <w:pPr>
        <w:ind w:left="4320" w:hanging="180"/>
      </w:pPr>
    </w:lvl>
    <w:lvl w:ilvl="6" w:tplc="5DDEA518">
      <w:start w:val="1"/>
      <w:numFmt w:val="decimal"/>
      <w:lvlText w:val="%7."/>
      <w:lvlJc w:val="left"/>
      <w:pPr>
        <w:ind w:left="5040" w:hanging="360"/>
      </w:pPr>
    </w:lvl>
    <w:lvl w:ilvl="7" w:tplc="1E421054">
      <w:start w:val="1"/>
      <w:numFmt w:val="lowerLetter"/>
      <w:lvlText w:val="%8."/>
      <w:lvlJc w:val="left"/>
      <w:pPr>
        <w:ind w:left="5760" w:hanging="360"/>
      </w:pPr>
    </w:lvl>
    <w:lvl w:ilvl="8" w:tplc="A956FB7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C0189"/>
    <w:multiLevelType w:val="hybridMultilevel"/>
    <w:tmpl w:val="4FF619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46A64"/>
    <w:multiLevelType w:val="multilevel"/>
    <w:tmpl w:val="B0DECF8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0C358F"/>
    <w:multiLevelType w:val="hybridMultilevel"/>
    <w:tmpl w:val="AAE0DC90"/>
    <w:lvl w:ilvl="0" w:tplc="8A041B66">
      <w:start w:val="3"/>
      <w:numFmt w:val="bullet"/>
      <w:lvlText w:val="—"/>
      <w:lvlJc w:val="left"/>
      <w:pPr>
        <w:ind w:left="786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782449C8"/>
    <w:multiLevelType w:val="hybridMultilevel"/>
    <w:tmpl w:val="7D64FD6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256BF7"/>
    <w:multiLevelType w:val="multilevel"/>
    <w:tmpl w:val="E68C1D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55022B"/>
    <w:multiLevelType w:val="hybridMultilevel"/>
    <w:tmpl w:val="AA7262B8"/>
    <w:lvl w:ilvl="0" w:tplc="2AE4F1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19"/>
  </w:num>
  <w:num w:numId="4">
    <w:abstractNumId w:val="14"/>
  </w:num>
  <w:num w:numId="5">
    <w:abstractNumId w:val="17"/>
  </w:num>
  <w:num w:numId="6">
    <w:abstractNumId w:val="27"/>
  </w:num>
  <w:num w:numId="7">
    <w:abstractNumId w:val="11"/>
  </w:num>
  <w:num w:numId="8">
    <w:abstractNumId w:val="28"/>
  </w:num>
  <w:num w:numId="9">
    <w:abstractNumId w:val="23"/>
  </w:num>
  <w:num w:numId="10">
    <w:abstractNumId w:val="15"/>
  </w:num>
  <w:num w:numId="11">
    <w:abstractNumId w:val="30"/>
  </w:num>
  <w:num w:numId="12">
    <w:abstractNumId w:val="3"/>
  </w:num>
  <w:num w:numId="13">
    <w:abstractNumId w:val="7"/>
  </w:num>
  <w:num w:numId="14">
    <w:abstractNumId w:val="0"/>
  </w:num>
  <w:num w:numId="15">
    <w:abstractNumId w:val="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5"/>
  </w:num>
  <w:num w:numId="19">
    <w:abstractNumId w:val="6"/>
  </w:num>
  <w:num w:numId="20">
    <w:abstractNumId w:val="10"/>
  </w:num>
  <w:num w:numId="21">
    <w:abstractNumId w:val="20"/>
  </w:num>
  <w:num w:numId="22">
    <w:abstractNumId w:val="2"/>
  </w:num>
  <w:num w:numId="23">
    <w:abstractNumId w:val="9"/>
  </w:num>
  <w:num w:numId="24">
    <w:abstractNumId w:val="13"/>
  </w:num>
  <w:num w:numId="25">
    <w:abstractNumId w:val="4"/>
  </w:num>
  <w:num w:numId="26">
    <w:abstractNumId w:val="26"/>
  </w:num>
  <w:num w:numId="27">
    <w:abstractNumId w:val="22"/>
  </w:num>
  <w:num w:numId="28">
    <w:abstractNumId w:val="18"/>
  </w:num>
  <w:num w:numId="29">
    <w:abstractNumId w:val="21"/>
  </w:num>
  <w:num w:numId="30">
    <w:abstractNumId w:val="12"/>
  </w:num>
  <w:num w:numId="31">
    <w:abstractNumId w:val="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9F9"/>
    <w:rsid w:val="00002007"/>
    <w:rsid w:val="00003717"/>
    <w:rsid w:val="00003C12"/>
    <w:rsid w:val="00006E0E"/>
    <w:rsid w:val="00010471"/>
    <w:rsid w:val="000117BD"/>
    <w:rsid w:val="00014068"/>
    <w:rsid w:val="00014751"/>
    <w:rsid w:val="000151B3"/>
    <w:rsid w:val="00016BD1"/>
    <w:rsid w:val="00017A0B"/>
    <w:rsid w:val="0002082C"/>
    <w:rsid w:val="000210D0"/>
    <w:rsid w:val="0002215E"/>
    <w:rsid w:val="00022F89"/>
    <w:rsid w:val="000231C4"/>
    <w:rsid w:val="000233E7"/>
    <w:rsid w:val="00023D90"/>
    <w:rsid w:val="00024F30"/>
    <w:rsid w:val="00027B3D"/>
    <w:rsid w:val="000313E7"/>
    <w:rsid w:val="00031B88"/>
    <w:rsid w:val="00032539"/>
    <w:rsid w:val="00032A30"/>
    <w:rsid w:val="00033141"/>
    <w:rsid w:val="00037919"/>
    <w:rsid w:val="0004194F"/>
    <w:rsid w:val="00041982"/>
    <w:rsid w:val="00042419"/>
    <w:rsid w:val="00042D9E"/>
    <w:rsid w:val="00043290"/>
    <w:rsid w:val="0004547D"/>
    <w:rsid w:val="00055420"/>
    <w:rsid w:val="000570F3"/>
    <w:rsid w:val="0006044A"/>
    <w:rsid w:val="00060CBF"/>
    <w:rsid w:val="00062227"/>
    <w:rsid w:val="000639D4"/>
    <w:rsid w:val="00064A40"/>
    <w:rsid w:val="00067F95"/>
    <w:rsid w:val="00070A7F"/>
    <w:rsid w:val="00071949"/>
    <w:rsid w:val="0007241A"/>
    <w:rsid w:val="000733F6"/>
    <w:rsid w:val="00076C55"/>
    <w:rsid w:val="0008006C"/>
    <w:rsid w:val="0008022D"/>
    <w:rsid w:val="000806CE"/>
    <w:rsid w:val="000842C5"/>
    <w:rsid w:val="00085B52"/>
    <w:rsid w:val="0009127C"/>
    <w:rsid w:val="00091F14"/>
    <w:rsid w:val="00092BC6"/>
    <w:rsid w:val="00093374"/>
    <w:rsid w:val="00093503"/>
    <w:rsid w:val="00094382"/>
    <w:rsid w:val="0009496C"/>
    <w:rsid w:val="000A0BF8"/>
    <w:rsid w:val="000A3B5F"/>
    <w:rsid w:val="000A7014"/>
    <w:rsid w:val="000B048A"/>
    <w:rsid w:val="000B0EC6"/>
    <w:rsid w:val="000B330C"/>
    <w:rsid w:val="000B3629"/>
    <w:rsid w:val="000B7764"/>
    <w:rsid w:val="000C0B09"/>
    <w:rsid w:val="000C261C"/>
    <w:rsid w:val="000C47DF"/>
    <w:rsid w:val="000C5560"/>
    <w:rsid w:val="000C7746"/>
    <w:rsid w:val="000D0DD1"/>
    <w:rsid w:val="000D138D"/>
    <w:rsid w:val="000D1EFD"/>
    <w:rsid w:val="000D3DED"/>
    <w:rsid w:val="000D509F"/>
    <w:rsid w:val="000E20F0"/>
    <w:rsid w:val="000E4EE7"/>
    <w:rsid w:val="000E5186"/>
    <w:rsid w:val="000E5A61"/>
    <w:rsid w:val="000E7475"/>
    <w:rsid w:val="000F6E9A"/>
    <w:rsid w:val="000F7921"/>
    <w:rsid w:val="00100408"/>
    <w:rsid w:val="001042E9"/>
    <w:rsid w:val="0010474B"/>
    <w:rsid w:val="0010516F"/>
    <w:rsid w:val="001053A2"/>
    <w:rsid w:val="0010597F"/>
    <w:rsid w:val="0010667E"/>
    <w:rsid w:val="001070CB"/>
    <w:rsid w:val="001074B1"/>
    <w:rsid w:val="00107B9C"/>
    <w:rsid w:val="00107F49"/>
    <w:rsid w:val="001101D6"/>
    <w:rsid w:val="001104C1"/>
    <w:rsid w:val="00116C25"/>
    <w:rsid w:val="00121CD2"/>
    <w:rsid w:val="00121E2A"/>
    <w:rsid w:val="00123085"/>
    <w:rsid w:val="00123C41"/>
    <w:rsid w:val="001252ED"/>
    <w:rsid w:val="00125A67"/>
    <w:rsid w:val="00132263"/>
    <w:rsid w:val="0013325E"/>
    <w:rsid w:val="00140D0B"/>
    <w:rsid w:val="00144943"/>
    <w:rsid w:val="00145E4B"/>
    <w:rsid w:val="00146ED8"/>
    <w:rsid w:val="00150DFD"/>
    <w:rsid w:val="0015418F"/>
    <w:rsid w:val="001562C6"/>
    <w:rsid w:val="00160055"/>
    <w:rsid w:val="00162C6D"/>
    <w:rsid w:val="00163B07"/>
    <w:rsid w:val="0016401B"/>
    <w:rsid w:val="0016534E"/>
    <w:rsid w:val="001670E1"/>
    <w:rsid w:val="001700C8"/>
    <w:rsid w:val="001708BA"/>
    <w:rsid w:val="00171052"/>
    <w:rsid w:val="0017251A"/>
    <w:rsid w:val="00172DA9"/>
    <w:rsid w:val="00173F3C"/>
    <w:rsid w:val="00176236"/>
    <w:rsid w:val="00176609"/>
    <w:rsid w:val="00181541"/>
    <w:rsid w:val="001829E7"/>
    <w:rsid w:val="00183C2F"/>
    <w:rsid w:val="00184325"/>
    <w:rsid w:val="001865F0"/>
    <w:rsid w:val="00186785"/>
    <w:rsid w:val="00186815"/>
    <w:rsid w:val="001903A0"/>
    <w:rsid w:val="001931A3"/>
    <w:rsid w:val="00193D09"/>
    <w:rsid w:val="001952F2"/>
    <w:rsid w:val="0019722E"/>
    <w:rsid w:val="001A1A58"/>
    <w:rsid w:val="001A1BEC"/>
    <w:rsid w:val="001A5268"/>
    <w:rsid w:val="001A5875"/>
    <w:rsid w:val="001A758E"/>
    <w:rsid w:val="001A7DDB"/>
    <w:rsid w:val="001B2209"/>
    <w:rsid w:val="001B4C3F"/>
    <w:rsid w:val="001B4C5C"/>
    <w:rsid w:val="001B613D"/>
    <w:rsid w:val="001C2340"/>
    <w:rsid w:val="001C4901"/>
    <w:rsid w:val="001C50D2"/>
    <w:rsid w:val="001C5235"/>
    <w:rsid w:val="001C5C00"/>
    <w:rsid w:val="001C5F0F"/>
    <w:rsid w:val="001D05ED"/>
    <w:rsid w:val="001D2522"/>
    <w:rsid w:val="001D3110"/>
    <w:rsid w:val="001D6352"/>
    <w:rsid w:val="001D64C8"/>
    <w:rsid w:val="001E0FD0"/>
    <w:rsid w:val="001E217E"/>
    <w:rsid w:val="001E26DA"/>
    <w:rsid w:val="001E2DEA"/>
    <w:rsid w:val="001E6294"/>
    <w:rsid w:val="001F0E7D"/>
    <w:rsid w:val="001F1481"/>
    <w:rsid w:val="001F314B"/>
    <w:rsid w:val="001F4F87"/>
    <w:rsid w:val="001F72DC"/>
    <w:rsid w:val="00200880"/>
    <w:rsid w:val="002008E6"/>
    <w:rsid w:val="00203EC4"/>
    <w:rsid w:val="0020434C"/>
    <w:rsid w:val="00205120"/>
    <w:rsid w:val="002051D2"/>
    <w:rsid w:val="00205F74"/>
    <w:rsid w:val="00206411"/>
    <w:rsid w:val="002068E1"/>
    <w:rsid w:val="002104A0"/>
    <w:rsid w:val="00210F0C"/>
    <w:rsid w:val="002137E7"/>
    <w:rsid w:val="00213D5C"/>
    <w:rsid w:val="002163C9"/>
    <w:rsid w:val="002167BD"/>
    <w:rsid w:val="00221B20"/>
    <w:rsid w:val="002248DA"/>
    <w:rsid w:val="002256E1"/>
    <w:rsid w:val="00226373"/>
    <w:rsid w:val="00227A05"/>
    <w:rsid w:val="00232ECC"/>
    <w:rsid w:val="0023464B"/>
    <w:rsid w:val="00234E3D"/>
    <w:rsid w:val="002362F0"/>
    <w:rsid w:val="00241A3A"/>
    <w:rsid w:val="00242BDF"/>
    <w:rsid w:val="00244D30"/>
    <w:rsid w:val="00246588"/>
    <w:rsid w:val="002465A1"/>
    <w:rsid w:val="00246CC1"/>
    <w:rsid w:val="00252342"/>
    <w:rsid w:val="00255AF7"/>
    <w:rsid w:val="002567C9"/>
    <w:rsid w:val="002614F0"/>
    <w:rsid w:val="00261771"/>
    <w:rsid w:val="002643C1"/>
    <w:rsid w:val="00272CD6"/>
    <w:rsid w:val="00273B92"/>
    <w:rsid w:val="00273C10"/>
    <w:rsid w:val="00273EF1"/>
    <w:rsid w:val="002747E9"/>
    <w:rsid w:val="00274AC2"/>
    <w:rsid w:val="00276C56"/>
    <w:rsid w:val="002779C2"/>
    <w:rsid w:val="0028215A"/>
    <w:rsid w:val="002821B1"/>
    <w:rsid w:val="0028362C"/>
    <w:rsid w:val="00284288"/>
    <w:rsid w:val="00286201"/>
    <w:rsid w:val="00286E9A"/>
    <w:rsid w:val="00287EB4"/>
    <w:rsid w:val="00287FF6"/>
    <w:rsid w:val="002901CC"/>
    <w:rsid w:val="002901FB"/>
    <w:rsid w:val="0029065A"/>
    <w:rsid w:val="002916AA"/>
    <w:rsid w:val="002A1940"/>
    <w:rsid w:val="002A33FF"/>
    <w:rsid w:val="002A6D28"/>
    <w:rsid w:val="002B057B"/>
    <w:rsid w:val="002B30EC"/>
    <w:rsid w:val="002B712D"/>
    <w:rsid w:val="002B7684"/>
    <w:rsid w:val="002C2725"/>
    <w:rsid w:val="002C55ED"/>
    <w:rsid w:val="002C79D8"/>
    <w:rsid w:val="002D0319"/>
    <w:rsid w:val="002D0F6A"/>
    <w:rsid w:val="002D2D34"/>
    <w:rsid w:val="002D4F0E"/>
    <w:rsid w:val="002E0371"/>
    <w:rsid w:val="002E0ACD"/>
    <w:rsid w:val="002E13D7"/>
    <w:rsid w:val="002E2F86"/>
    <w:rsid w:val="002E5600"/>
    <w:rsid w:val="002E5BEB"/>
    <w:rsid w:val="002E5F83"/>
    <w:rsid w:val="002F07EF"/>
    <w:rsid w:val="002F3F1B"/>
    <w:rsid w:val="002F6A3C"/>
    <w:rsid w:val="002F6FE0"/>
    <w:rsid w:val="002F7859"/>
    <w:rsid w:val="00301945"/>
    <w:rsid w:val="00303809"/>
    <w:rsid w:val="00304265"/>
    <w:rsid w:val="00304549"/>
    <w:rsid w:val="00304CA1"/>
    <w:rsid w:val="00305EDF"/>
    <w:rsid w:val="00307151"/>
    <w:rsid w:val="00307B85"/>
    <w:rsid w:val="0031117A"/>
    <w:rsid w:val="003117C7"/>
    <w:rsid w:val="003169D9"/>
    <w:rsid w:val="0032248E"/>
    <w:rsid w:val="00330F2C"/>
    <w:rsid w:val="00334221"/>
    <w:rsid w:val="003344CD"/>
    <w:rsid w:val="003373F3"/>
    <w:rsid w:val="00340246"/>
    <w:rsid w:val="00342C13"/>
    <w:rsid w:val="0034330B"/>
    <w:rsid w:val="0034371E"/>
    <w:rsid w:val="00344E2F"/>
    <w:rsid w:val="003453DF"/>
    <w:rsid w:val="00347A23"/>
    <w:rsid w:val="0035252B"/>
    <w:rsid w:val="00353D53"/>
    <w:rsid w:val="00355A8C"/>
    <w:rsid w:val="003571EB"/>
    <w:rsid w:val="003577D7"/>
    <w:rsid w:val="0036114E"/>
    <w:rsid w:val="003621A9"/>
    <w:rsid w:val="00362593"/>
    <w:rsid w:val="00364FD4"/>
    <w:rsid w:val="00365587"/>
    <w:rsid w:val="00366307"/>
    <w:rsid w:val="00366C39"/>
    <w:rsid w:val="0036710D"/>
    <w:rsid w:val="003705EC"/>
    <w:rsid w:val="00372D1F"/>
    <w:rsid w:val="00372FF4"/>
    <w:rsid w:val="00376F65"/>
    <w:rsid w:val="00380EAA"/>
    <w:rsid w:val="003826C1"/>
    <w:rsid w:val="00384FB9"/>
    <w:rsid w:val="003861E0"/>
    <w:rsid w:val="003864C5"/>
    <w:rsid w:val="00386BB2"/>
    <w:rsid w:val="003874E7"/>
    <w:rsid w:val="003914AD"/>
    <w:rsid w:val="003921DF"/>
    <w:rsid w:val="00393584"/>
    <w:rsid w:val="00394516"/>
    <w:rsid w:val="00394823"/>
    <w:rsid w:val="00396B52"/>
    <w:rsid w:val="00397346"/>
    <w:rsid w:val="0039764E"/>
    <w:rsid w:val="003A22ED"/>
    <w:rsid w:val="003A30EB"/>
    <w:rsid w:val="003A4886"/>
    <w:rsid w:val="003A5468"/>
    <w:rsid w:val="003B0256"/>
    <w:rsid w:val="003B1B83"/>
    <w:rsid w:val="003B2520"/>
    <w:rsid w:val="003B67EF"/>
    <w:rsid w:val="003B7E85"/>
    <w:rsid w:val="003C0480"/>
    <w:rsid w:val="003C552F"/>
    <w:rsid w:val="003C6DF2"/>
    <w:rsid w:val="003D0B34"/>
    <w:rsid w:val="003D2F34"/>
    <w:rsid w:val="003D6A35"/>
    <w:rsid w:val="003E108C"/>
    <w:rsid w:val="003E301E"/>
    <w:rsid w:val="003E324E"/>
    <w:rsid w:val="003F3E05"/>
    <w:rsid w:val="003F4AE5"/>
    <w:rsid w:val="003F6371"/>
    <w:rsid w:val="003F6FDA"/>
    <w:rsid w:val="004010D7"/>
    <w:rsid w:val="00403B79"/>
    <w:rsid w:val="0040765F"/>
    <w:rsid w:val="00410460"/>
    <w:rsid w:val="00412A9E"/>
    <w:rsid w:val="004134C7"/>
    <w:rsid w:val="00413D9A"/>
    <w:rsid w:val="004156CE"/>
    <w:rsid w:val="004165DC"/>
    <w:rsid w:val="00416AF6"/>
    <w:rsid w:val="00416D9B"/>
    <w:rsid w:val="00417C6B"/>
    <w:rsid w:val="00420DC8"/>
    <w:rsid w:val="0042178D"/>
    <w:rsid w:val="00424EFF"/>
    <w:rsid w:val="00426C67"/>
    <w:rsid w:val="00426D9F"/>
    <w:rsid w:val="004277DD"/>
    <w:rsid w:val="00427828"/>
    <w:rsid w:val="00430720"/>
    <w:rsid w:val="00435FDE"/>
    <w:rsid w:val="00436192"/>
    <w:rsid w:val="004372EE"/>
    <w:rsid w:val="004379CA"/>
    <w:rsid w:val="00442442"/>
    <w:rsid w:val="00442570"/>
    <w:rsid w:val="00443993"/>
    <w:rsid w:val="00444155"/>
    <w:rsid w:val="0044592B"/>
    <w:rsid w:val="00446118"/>
    <w:rsid w:val="0044642D"/>
    <w:rsid w:val="00446F24"/>
    <w:rsid w:val="00447F25"/>
    <w:rsid w:val="00454672"/>
    <w:rsid w:val="00455139"/>
    <w:rsid w:val="0045623E"/>
    <w:rsid w:val="00457484"/>
    <w:rsid w:val="004622B6"/>
    <w:rsid w:val="004627EE"/>
    <w:rsid w:val="00463E7A"/>
    <w:rsid w:val="00464F0C"/>
    <w:rsid w:val="004675B7"/>
    <w:rsid w:val="004725B3"/>
    <w:rsid w:val="00472AF1"/>
    <w:rsid w:val="004734A0"/>
    <w:rsid w:val="004770FC"/>
    <w:rsid w:val="00477A56"/>
    <w:rsid w:val="0048241A"/>
    <w:rsid w:val="00486973"/>
    <w:rsid w:val="0049157D"/>
    <w:rsid w:val="004928B6"/>
    <w:rsid w:val="00493BC6"/>
    <w:rsid w:val="004941AB"/>
    <w:rsid w:val="004949B2"/>
    <w:rsid w:val="00495CB0"/>
    <w:rsid w:val="004964E9"/>
    <w:rsid w:val="0049762D"/>
    <w:rsid w:val="004A0F86"/>
    <w:rsid w:val="004A29B8"/>
    <w:rsid w:val="004A39F9"/>
    <w:rsid w:val="004A627D"/>
    <w:rsid w:val="004C2C06"/>
    <w:rsid w:val="004C4008"/>
    <w:rsid w:val="004C6E86"/>
    <w:rsid w:val="004D169A"/>
    <w:rsid w:val="004D5A05"/>
    <w:rsid w:val="004D5B4B"/>
    <w:rsid w:val="004D68E3"/>
    <w:rsid w:val="004D73EB"/>
    <w:rsid w:val="004D75A5"/>
    <w:rsid w:val="004E042F"/>
    <w:rsid w:val="004E09C8"/>
    <w:rsid w:val="004E19C9"/>
    <w:rsid w:val="004E20D4"/>
    <w:rsid w:val="004E2AC4"/>
    <w:rsid w:val="004E347C"/>
    <w:rsid w:val="004E4AA9"/>
    <w:rsid w:val="004E769E"/>
    <w:rsid w:val="004F19C1"/>
    <w:rsid w:val="004F1AED"/>
    <w:rsid w:val="004F1D63"/>
    <w:rsid w:val="004F4927"/>
    <w:rsid w:val="004F5C68"/>
    <w:rsid w:val="004F7CCC"/>
    <w:rsid w:val="005015AA"/>
    <w:rsid w:val="00501B5F"/>
    <w:rsid w:val="00502E0F"/>
    <w:rsid w:val="00503877"/>
    <w:rsid w:val="00505E57"/>
    <w:rsid w:val="00505F78"/>
    <w:rsid w:val="00506795"/>
    <w:rsid w:val="005071AD"/>
    <w:rsid w:val="00507512"/>
    <w:rsid w:val="005118EF"/>
    <w:rsid w:val="00511BA7"/>
    <w:rsid w:val="00512C76"/>
    <w:rsid w:val="00515B1D"/>
    <w:rsid w:val="00515EDA"/>
    <w:rsid w:val="00516C70"/>
    <w:rsid w:val="005231D8"/>
    <w:rsid w:val="00525982"/>
    <w:rsid w:val="00527F20"/>
    <w:rsid w:val="00530EA3"/>
    <w:rsid w:val="00532BA9"/>
    <w:rsid w:val="00536010"/>
    <w:rsid w:val="00536BDE"/>
    <w:rsid w:val="00537834"/>
    <w:rsid w:val="005408BF"/>
    <w:rsid w:val="00542546"/>
    <w:rsid w:val="00543E6E"/>
    <w:rsid w:val="00545585"/>
    <w:rsid w:val="005459EE"/>
    <w:rsid w:val="00547C27"/>
    <w:rsid w:val="0055013F"/>
    <w:rsid w:val="005501FF"/>
    <w:rsid w:val="00550A0D"/>
    <w:rsid w:val="00554D72"/>
    <w:rsid w:val="005557BC"/>
    <w:rsid w:val="005561B7"/>
    <w:rsid w:val="005567E9"/>
    <w:rsid w:val="00562370"/>
    <w:rsid w:val="005630F2"/>
    <w:rsid w:val="00563A2B"/>
    <w:rsid w:val="00565369"/>
    <w:rsid w:val="00567602"/>
    <w:rsid w:val="005724A8"/>
    <w:rsid w:val="0057307B"/>
    <w:rsid w:val="00574A56"/>
    <w:rsid w:val="00574E3F"/>
    <w:rsid w:val="00577CAB"/>
    <w:rsid w:val="00580FAA"/>
    <w:rsid w:val="00581553"/>
    <w:rsid w:val="00581F0F"/>
    <w:rsid w:val="0058255E"/>
    <w:rsid w:val="00590FA0"/>
    <w:rsid w:val="005913A8"/>
    <w:rsid w:val="005921A3"/>
    <w:rsid w:val="005923FF"/>
    <w:rsid w:val="00594612"/>
    <w:rsid w:val="00596445"/>
    <w:rsid w:val="005A0051"/>
    <w:rsid w:val="005A51B3"/>
    <w:rsid w:val="005A716F"/>
    <w:rsid w:val="005B1E2D"/>
    <w:rsid w:val="005B29D9"/>
    <w:rsid w:val="005B3A32"/>
    <w:rsid w:val="005B404D"/>
    <w:rsid w:val="005B41AA"/>
    <w:rsid w:val="005B6283"/>
    <w:rsid w:val="005B6B6F"/>
    <w:rsid w:val="005B7875"/>
    <w:rsid w:val="005C0E7B"/>
    <w:rsid w:val="005C21BD"/>
    <w:rsid w:val="005C2324"/>
    <w:rsid w:val="005C5F3D"/>
    <w:rsid w:val="005C5F90"/>
    <w:rsid w:val="005C6FF9"/>
    <w:rsid w:val="005D14D8"/>
    <w:rsid w:val="005D1776"/>
    <w:rsid w:val="005D35D0"/>
    <w:rsid w:val="005D4C57"/>
    <w:rsid w:val="005D6312"/>
    <w:rsid w:val="005D6E3C"/>
    <w:rsid w:val="005E0B42"/>
    <w:rsid w:val="005E475B"/>
    <w:rsid w:val="005E5D62"/>
    <w:rsid w:val="005E5F5D"/>
    <w:rsid w:val="005E7802"/>
    <w:rsid w:val="005F1E0B"/>
    <w:rsid w:val="005F21DE"/>
    <w:rsid w:val="005F3F57"/>
    <w:rsid w:val="005F5193"/>
    <w:rsid w:val="005F55BC"/>
    <w:rsid w:val="005F7001"/>
    <w:rsid w:val="005F76AF"/>
    <w:rsid w:val="00603A3A"/>
    <w:rsid w:val="00603CA2"/>
    <w:rsid w:val="006044A6"/>
    <w:rsid w:val="006049E3"/>
    <w:rsid w:val="00604C63"/>
    <w:rsid w:val="00605818"/>
    <w:rsid w:val="0060585B"/>
    <w:rsid w:val="00610BF2"/>
    <w:rsid w:val="00611F9C"/>
    <w:rsid w:val="006144C1"/>
    <w:rsid w:val="00614AF6"/>
    <w:rsid w:val="00614B40"/>
    <w:rsid w:val="00615294"/>
    <w:rsid w:val="00621325"/>
    <w:rsid w:val="00623D4F"/>
    <w:rsid w:val="00623FBF"/>
    <w:rsid w:val="006251DC"/>
    <w:rsid w:val="006273A5"/>
    <w:rsid w:val="00630100"/>
    <w:rsid w:val="00632714"/>
    <w:rsid w:val="00634779"/>
    <w:rsid w:val="00636070"/>
    <w:rsid w:val="006365D2"/>
    <w:rsid w:val="00640301"/>
    <w:rsid w:val="00641242"/>
    <w:rsid w:val="006438EA"/>
    <w:rsid w:val="00644E90"/>
    <w:rsid w:val="00644FD4"/>
    <w:rsid w:val="006479C1"/>
    <w:rsid w:val="00651C67"/>
    <w:rsid w:val="00652F24"/>
    <w:rsid w:val="00653262"/>
    <w:rsid w:val="00653489"/>
    <w:rsid w:val="00655322"/>
    <w:rsid w:val="00657DCD"/>
    <w:rsid w:val="00661329"/>
    <w:rsid w:val="00661F50"/>
    <w:rsid w:val="00665CEC"/>
    <w:rsid w:val="0067162F"/>
    <w:rsid w:val="00672F86"/>
    <w:rsid w:val="00673C56"/>
    <w:rsid w:val="00673E3D"/>
    <w:rsid w:val="00674CD2"/>
    <w:rsid w:val="006758DF"/>
    <w:rsid w:val="00676960"/>
    <w:rsid w:val="0067779A"/>
    <w:rsid w:val="006827C2"/>
    <w:rsid w:val="00682842"/>
    <w:rsid w:val="006841A8"/>
    <w:rsid w:val="00686419"/>
    <w:rsid w:val="00686751"/>
    <w:rsid w:val="006869DF"/>
    <w:rsid w:val="0069008D"/>
    <w:rsid w:val="00692D9A"/>
    <w:rsid w:val="00692E4B"/>
    <w:rsid w:val="006A0CD0"/>
    <w:rsid w:val="006A34CD"/>
    <w:rsid w:val="006A44C4"/>
    <w:rsid w:val="006B0E7A"/>
    <w:rsid w:val="006B5066"/>
    <w:rsid w:val="006B52E6"/>
    <w:rsid w:val="006C1CCD"/>
    <w:rsid w:val="006C2B2B"/>
    <w:rsid w:val="006C2C86"/>
    <w:rsid w:val="006C4ABC"/>
    <w:rsid w:val="006C770F"/>
    <w:rsid w:val="006D19A6"/>
    <w:rsid w:val="006D21A7"/>
    <w:rsid w:val="006D3194"/>
    <w:rsid w:val="006D392C"/>
    <w:rsid w:val="006D53C9"/>
    <w:rsid w:val="006D554A"/>
    <w:rsid w:val="006D65EC"/>
    <w:rsid w:val="006D7289"/>
    <w:rsid w:val="006E066C"/>
    <w:rsid w:val="006E1661"/>
    <w:rsid w:val="006E191D"/>
    <w:rsid w:val="006E1F58"/>
    <w:rsid w:val="006E2897"/>
    <w:rsid w:val="006E3F18"/>
    <w:rsid w:val="006F093C"/>
    <w:rsid w:val="006F1E3F"/>
    <w:rsid w:val="006F74E9"/>
    <w:rsid w:val="006F7B44"/>
    <w:rsid w:val="00702641"/>
    <w:rsid w:val="00710F6A"/>
    <w:rsid w:val="00711AC7"/>
    <w:rsid w:val="007120A4"/>
    <w:rsid w:val="00712B79"/>
    <w:rsid w:val="00713BFA"/>
    <w:rsid w:val="00713FF6"/>
    <w:rsid w:val="007158E5"/>
    <w:rsid w:val="0071733C"/>
    <w:rsid w:val="00717B11"/>
    <w:rsid w:val="00722E60"/>
    <w:rsid w:val="00722F8E"/>
    <w:rsid w:val="00724428"/>
    <w:rsid w:val="00725029"/>
    <w:rsid w:val="00730D39"/>
    <w:rsid w:val="007342E4"/>
    <w:rsid w:val="00734B5B"/>
    <w:rsid w:val="007404CB"/>
    <w:rsid w:val="00740A00"/>
    <w:rsid w:val="00743D14"/>
    <w:rsid w:val="00743E4C"/>
    <w:rsid w:val="0074406E"/>
    <w:rsid w:val="00754175"/>
    <w:rsid w:val="0075632B"/>
    <w:rsid w:val="00757658"/>
    <w:rsid w:val="00762A97"/>
    <w:rsid w:val="00762F97"/>
    <w:rsid w:val="00764DB9"/>
    <w:rsid w:val="00765C3F"/>
    <w:rsid w:val="007677CB"/>
    <w:rsid w:val="0077302A"/>
    <w:rsid w:val="007771D4"/>
    <w:rsid w:val="007772A9"/>
    <w:rsid w:val="007814D5"/>
    <w:rsid w:val="007824BF"/>
    <w:rsid w:val="0078346E"/>
    <w:rsid w:val="00784308"/>
    <w:rsid w:val="0078455D"/>
    <w:rsid w:val="00785B99"/>
    <w:rsid w:val="00786839"/>
    <w:rsid w:val="00787018"/>
    <w:rsid w:val="00792B14"/>
    <w:rsid w:val="00792DDD"/>
    <w:rsid w:val="00792EB9"/>
    <w:rsid w:val="00793BD0"/>
    <w:rsid w:val="0079428C"/>
    <w:rsid w:val="00794B01"/>
    <w:rsid w:val="00794C54"/>
    <w:rsid w:val="0079545D"/>
    <w:rsid w:val="00795AAB"/>
    <w:rsid w:val="0079647E"/>
    <w:rsid w:val="007A0A6D"/>
    <w:rsid w:val="007A0A7A"/>
    <w:rsid w:val="007A501E"/>
    <w:rsid w:val="007B28C8"/>
    <w:rsid w:val="007B3ADC"/>
    <w:rsid w:val="007C34E5"/>
    <w:rsid w:val="007C439F"/>
    <w:rsid w:val="007C63D8"/>
    <w:rsid w:val="007C6E66"/>
    <w:rsid w:val="007D1BC4"/>
    <w:rsid w:val="007D1CB3"/>
    <w:rsid w:val="007D2177"/>
    <w:rsid w:val="007D278D"/>
    <w:rsid w:val="007D5DF7"/>
    <w:rsid w:val="007D648E"/>
    <w:rsid w:val="007D64AF"/>
    <w:rsid w:val="007D7501"/>
    <w:rsid w:val="007E13EF"/>
    <w:rsid w:val="007E3D6D"/>
    <w:rsid w:val="007E4B6B"/>
    <w:rsid w:val="007E7761"/>
    <w:rsid w:val="007E79C7"/>
    <w:rsid w:val="007E7F72"/>
    <w:rsid w:val="007F0E6F"/>
    <w:rsid w:val="007F4A49"/>
    <w:rsid w:val="007F5B4A"/>
    <w:rsid w:val="007F6E25"/>
    <w:rsid w:val="0080178D"/>
    <w:rsid w:val="008029F6"/>
    <w:rsid w:val="00802D35"/>
    <w:rsid w:val="00803AD6"/>
    <w:rsid w:val="00804F00"/>
    <w:rsid w:val="00805C2D"/>
    <w:rsid w:val="00807D6D"/>
    <w:rsid w:val="00810AB9"/>
    <w:rsid w:val="008141B5"/>
    <w:rsid w:val="0081506C"/>
    <w:rsid w:val="00815458"/>
    <w:rsid w:val="00815BAC"/>
    <w:rsid w:val="008213A3"/>
    <w:rsid w:val="00826942"/>
    <w:rsid w:val="00832980"/>
    <w:rsid w:val="008337D6"/>
    <w:rsid w:val="00833C01"/>
    <w:rsid w:val="00835336"/>
    <w:rsid w:val="008371D7"/>
    <w:rsid w:val="008405F1"/>
    <w:rsid w:val="00841248"/>
    <w:rsid w:val="00845F3D"/>
    <w:rsid w:val="00846822"/>
    <w:rsid w:val="00854F18"/>
    <w:rsid w:val="00857888"/>
    <w:rsid w:val="008618FD"/>
    <w:rsid w:val="00862695"/>
    <w:rsid w:val="00872902"/>
    <w:rsid w:val="00872BC9"/>
    <w:rsid w:val="008759B5"/>
    <w:rsid w:val="00875CF7"/>
    <w:rsid w:val="00876D30"/>
    <w:rsid w:val="0088064A"/>
    <w:rsid w:val="00881EE1"/>
    <w:rsid w:val="00883F1B"/>
    <w:rsid w:val="0088488C"/>
    <w:rsid w:val="00892235"/>
    <w:rsid w:val="00892889"/>
    <w:rsid w:val="00894898"/>
    <w:rsid w:val="008A1217"/>
    <w:rsid w:val="008A12A6"/>
    <w:rsid w:val="008A166F"/>
    <w:rsid w:val="008A1CF3"/>
    <w:rsid w:val="008A271A"/>
    <w:rsid w:val="008A3725"/>
    <w:rsid w:val="008B54A2"/>
    <w:rsid w:val="008B5E38"/>
    <w:rsid w:val="008B7F28"/>
    <w:rsid w:val="008C0273"/>
    <w:rsid w:val="008C3DCD"/>
    <w:rsid w:val="008C49F3"/>
    <w:rsid w:val="008D044B"/>
    <w:rsid w:val="008D195D"/>
    <w:rsid w:val="008D23F0"/>
    <w:rsid w:val="008D291F"/>
    <w:rsid w:val="008D7C41"/>
    <w:rsid w:val="008E0D53"/>
    <w:rsid w:val="008E442F"/>
    <w:rsid w:val="008E4E5A"/>
    <w:rsid w:val="008E62AD"/>
    <w:rsid w:val="008E7F72"/>
    <w:rsid w:val="008F236A"/>
    <w:rsid w:val="008F3FED"/>
    <w:rsid w:val="008F6E50"/>
    <w:rsid w:val="009006F5"/>
    <w:rsid w:val="0090125C"/>
    <w:rsid w:val="00902824"/>
    <w:rsid w:val="00904495"/>
    <w:rsid w:val="00904D54"/>
    <w:rsid w:val="00905171"/>
    <w:rsid w:val="0091050E"/>
    <w:rsid w:val="00910A64"/>
    <w:rsid w:val="0091187E"/>
    <w:rsid w:val="0091561D"/>
    <w:rsid w:val="00915F37"/>
    <w:rsid w:val="009166E5"/>
    <w:rsid w:val="00916F13"/>
    <w:rsid w:val="00917489"/>
    <w:rsid w:val="00920963"/>
    <w:rsid w:val="00920C09"/>
    <w:rsid w:val="0092243F"/>
    <w:rsid w:val="00922C77"/>
    <w:rsid w:val="00923489"/>
    <w:rsid w:val="009263A8"/>
    <w:rsid w:val="0092686F"/>
    <w:rsid w:val="00927218"/>
    <w:rsid w:val="00927252"/>
    <w:rsid w:val="00927B25"/>
    <w:rsid w:val="00930CA7"/>
    <w:rsid w:val="009314E0"/>
    <w:rsid w:val="00932AD7"/>
    <w:rsid w:val="00932E87"/>
    <w:rsid w:val="00933A2D"/>
    <w:rsid w:val="00934C4A"/>
    <w:rsid w:val="00934E1E"/>
    <w:rsid w:val="00936193"/>
    <w:rsid w:val="00936622"/>
    <w:rsid w:val="00936992"/>
    <w:rsid w:val="009371E3"/>
    <w:rsid w:val="009373C9"/>
    <w:rsid w:val="009420A3"/>
    <w:rsid w:val="00942F55"/>
    <w:rsid w:val="00943B97"/>
    <w:rsid w:val="00945C21"/>
    <w:rsid w:val="00946938"/>
    <w:rsid w:val="009508C4"/>
    <w:rsid w:val="009531F9"/>
    <w:rsid w:val="00954AA4"/>
    <w:rsid w:val="00954C75"/>
    <w:rsid w:val="00956057"/>
    <w:rsid w:val="00956362"/>
    <w:rsid w:val="00956D28"/>
    <w:rsid w:val="00956ED9"/>
    <w:rsid w:val="00962B23"/>
    <w:rsid w:val="009651B6"/>
    <w:rsid w:val="0096550B"/>
    <w:rsid w:val="009655E0"/>
    <w:rsid w:val="0096582D"/>
    <w:rsid w:val="0097085E"/>
    <w:rsid w:val="009714E0"/>
    <w:rsid w:val="00972271"/>
    <w:rsid w:val="00975A8A"/>
    <w:rsid w:val="00976EB8"/>
    <w:rsid w:val="00977CDF"/>
    <w:rsid w:val="009817CB"/>
    <w:rsid w:val="00983309"/>
    <w:rsid w:val="0098400B"/>
    <w:rsid w:val="00986F7F"/>
    <w:rsid w:val="00990101"/>
    <w:rsid w:val="0099164E"/>
    <w:rsid w:val="009925DA"/>
    <w:rsid w:val="009973E3"/>
    <w:rsid w:val="00997E9C"/>
    <w:rsid w:val="009A09C8"/>
    <w:rsid w:val="009A1451"/>
    <w:rsid w:val="009A1A0F"/>
    <w:rsid w:val="009A2E2B"/>
    <w:rsid w:val="009A4E66"/>
    <w:rsid w:val="009A5B64"/>
    <w:rsid w:val="009A5ED0"/>
    <w:rsid w:val="009B03B4"/>
    <w:rsid w:val="009B4EC1"/>
    <w:rsid w:val="009C1503"/>
    <w:rsid w:val="009C1764"/>
    <w:rsid w:val="009C28B4"/>
    <w:rsid w:val="009C3BC6"/>
    <w:rsid w:val="009D0097"/>
    <w:rsid w:val="009D114C"/>
    <w:rsid w:val="009D7F51"/>
    <w:rsid w:val="009E0192"/>
    <w:rsid w:val="009E0F83"/>
    <w:rsid w:val="009E172B"/>
    <w:rsid w:val="009E1DED"/>
    <w:rsid w:val="009E3032"/>
    <w:rsid w:val="009E34C8"/>
    <w:rsid w:val="009E3FB6"/>
    <w:rsid w:val="009E6BD6"/>
    <w:rsid w:val="009E707C"/>
    <w:rsid w:val="009F0255"/>
    <w:rsid w:val="009F0C75"/>
    <w:rsid w:val="009F27EB"/>
    <w:rsid w:val="009F2F75"/>
    <w:rsid w:val="009F32F7"/>
    <w:rsid w:val="00A0060E"/>
    <w:rsid w:val="00A008E2"/>
    <w:rsid w:val="00A04B48"/>
    <w:rsid w:val="00A05197"/>
    <w:rsid w:val="00A0608B"/>
    <w:rsid w:val="00A11778"/>
    <w:rsid w:val="00A122CA"/>
    <w:rsid w:val="00A1445E"/>
    <w:rsid w:val="00A14694"/>
    <w:rsid w:val="00A158A2"/>
    <w:rsid w:val="00A239BB"/>
    <w:rsid w:val="00A3287A"/>
    <w:rsid w:val="00A33A4F"/>
    <w:rsid w:val="00A34A3E"/>
    <w:rsid w:val="00A3540C"/>
    <w:rsid w:val="00A3694F"/>
    <w:rsid w:val="00A4037C"/>
    <w:rsid w:val="00A4133A"/>
    <w:rsid w:val="00A416CA"/>
    <w:rsid w:val="00A43A32"/>
    <w:rsid w:val="00A44356"/>
    <w:rsid w:val="00A44DF8"/>
    <w:rsid w:val="00A45131"/>
    <w:rsid w:val="00A45DAC"/>
    <w:rsid w:val="00A47984"/>
    <w:rsid w:val="00A50661"/>
    <w:rsid w:val="00A51357"/>
    <w:rsid w:val="00A53642"/>
    <w:rsid w:val="00A539AF"/>
    <w:rsid w:val="00A55191"/>
    <w:rsid w:val="00A562B7"/>
    <w:rsid w:val="00A5688B"/>
    <w:rsid w:val="00A569D5"/>
    <w:rsid w:val="00A56B4A"/>
    <w:rsid w:val="00A571BA"/>
    <w:rsid w:val="00A57A5F"/>
    <w:rsid w:val="00A6154C"/>
    <w:rsid w:val="00A6288C"/>
    <w:rsid w:val="00A642B0"/>
    <w:rsid w:val="00A66618"/>
    <w:rsid w:val="00A67C2F"/>
    <w:rsid w:val="00A705F8"/>
    <w:rsid w:val="00A7060D"/>
    <w:rsid w:val="00A742E6"/>
    <w:rsid w:val="00A752F3"/>
    <w:rsid w:val="00A7561F"/>
    <w:rsid w:val="00A774F1"/>
    <w:rsid w:val="00A77571"/>
    <w:rsid w:val="00A81C60"/>
    <w:rsid w:val="00A84DE6"/>
    <w:rsid w:val="00A84F6F"/>
    <w:rsid w:val="00A85B66"/>
    <w:rsid w:val="00A85FF3"/>
    <w:rsid w:val="00A86AD2"/>
    <w:rsid w:val="00A910FF"/>
    <w:rsid w:val="00A93F5C"/>
    <w:rsid w:val="00A9677C"/>
    <w:rsid w:val="00A970B4"/>
    <w:rsid w:val="00A976A3"/>
    <w:rsid w:val="00AA1396"/>
    <w:rsid w:val="00AA150D"/>
    <w:rsid w:val="00AA1D96"/>
    <w:rsid w:val="00AA430D"/>
    <w:rsid w:val="00AA5459"/>
    <w:rsid w:val="00AA657E"/>
    <w:rsid w:val="00AA77A6"/>
    <w:rsid w:val="00AA77D8"/>
    <w:rsid w:val="00AB1906"/>
    <w:rsid w:val="00AB2461"/>
    <w:rsid w:val="00AB3800"/>
    <w:rsid w:val="00AB3EA7"/>
    <w:rsid w:val="00AB5B91"/>
    <w:rsid w:val="00AB748B"/>
    <w:rsid w:val="00AC00A6"/>
    <w:rsid w:val="00AC474B"/>
    <w:rsid w:val="00AC561A"/>
    <w:rsid w:val="00AD0368"/>
    <w:rsid w:val="00AD1B15"/>
    <w:rsid w:val="00AD270B"/>
    <w:rsid w:val="00AD4AC7"/>
    <w:rsid w:val="00AD542D"/>
    <w:rsid w:val="00AD6338"/>
    <w:rsid w:val="00AD6A29"/>
    <w:rsid w:val="00AE2948"/>
    <w:rsid w:val="00AE432E"/>
    <w:rsid w:val="00AF13E2"/>
    <w:rsid w:val="00AF1FDC"/>
    <w:rsid w:val="00AF22EC"/>
    <w:rsid w:val="00AF56BA"/>
    <w:rsid w:val="00AF788E"/>
    <w:rsid w:val="00B03297"/>
    <w:rsid w:val="00B06016"/>
    <w:rsid w:val="00B069D5"/>
    <w:rsid w:val="00B07AFD"/>
    <w:rsid w:val="00B120B2"/>
    <w:rsid w:val="00B1566C"/>
    <w:rsid w:val="00B15E97"/>
    <w:rsid w:val="00B2057E"/>
    <w:rsid w:val="00B2099E"/>
    <w:rsid w:val="00B242B4"/>
    <w:rsid w:val="00B27F6A"/>
    <w:rsid w:val="00B32EE6"/>
    <w:rsid w:val="00B34BC2"/>
    <w:rsid w:val="00B373A9"/>
    <w:rsid w:val="00B4146B"/>
    <w:rsid w:val="00B414F9"/>
    <w:rsid w:val="00B43354"/>
    <w:rsid w:val="00B455A1"/>
    <w:rsid w:val="00B46120"/>
    <w:rsid w:val="00B4716A"/>
    <w:rsid w:val="00B47377"/>
    <w:rsid w:val="00B5088C"/>
    <w:rsid w:val="00B518FF"/>
    <w:rsid w:val="00B51919"/>
    <w:rsid w:val="00B51CBB"/>
    <w:rsid w:val="00B52E12"/>
    <w:rsid w:val="00B569AD"/>
    <w:rsid w:val="00B6190B"/>
    <w:rsid w:val="00B66007"/>
    <w:rsid w:val="00B709CE"/>
    <w:rsid w:val="00B71B7D"/>
    <w:rsid w:val="00B768F9"/>
    <w:rsid w:val="00B77284"/>
    <w:rsid w:val="00B82919"/>
    <w:rsid w:val="00B90922"/>
    <w:rsid w:val="00B9160C"/>
    <w:rsid w:val="00B957C5"/>
    <w:rsid w:val="00BA1011"/>
    <w:rsid w:val="00BA35DD"/>
    <w:rsid w:val="00BA5DDA"/>
    <w:rsid w:val="00BB0D19"/>
    <w:rsid w:val="00BB15EA"/>
    <w:rsid w:val="00BB578E"/>
    <w:rsid w:val="00BC243E"/>
    <w:rsid w:val="00BC2C0D"/>
    <w:rsid w:val="00BC56CD"/>
    <w:rsid w:val="00BC6F1A"/>
    <w:rsid w:val="00BD064C"/>
    <w:rsid w:val="00BD26D5"/>
    <w:rsid w:val="00BD28B6"/>
    <w:rsid w:val="00BD3A00"/>
    <w:rsid w:val="00BD3B7C"/>
    <w:rsid w:val="00BD3BB7"/>
    <w:rsid w:val="00BD454D"/>
    <w:rsid w:val="00BD67D1"/>
    <w:rsid w:val="00BE1D01"/>
    <w:rsid w:val="00BE2B5E"/>
    <w:rsid w:val="00BE3133"/>
    <w:rsid w:val="00BE362B"/>
    <w:rsid w:val="00BE3B30"/>
    <w:rsid w:val="00BE3F9A"/>
    <w:rsid w:val="00BE41AC"/>
    <w:rsid w:val="00BE4C68"/>
    <w:rsid w:val="00BE58EE"/>
    <w:rsid w:val="00BE7D19"/>
    <w:rsid w:val="00BF0E19"/>
    <w:rsid w:val="00BF111E"/>
    <w:rsid w:val="00BF2C01"/>
    <w:rsid w:val="00BF3134"/>
    <w:rsid w:val="00BF397A"/>
    <w:rsid w:val="00BF4106"/>
    <w:rsid w:val="00BF6C68"/>
    <w:rsid w:val="00BF6D10"/>
    <w:rsid w:val="00BF7A68"/>
    <w:rsid w:val="00C01F76"/>
    <w:rsid w:val="00C02412"/>
    <w:rsid w:val="00C03D79"/>
    <w:rsid w:val="00C05EA8"/>
    <w:rsid w:val="00C10AEB"/>
    <w:rsid w:val="00C113C7"/>
    <w:rsid w:val="00C167B7"/>
    <w:rsid w:val="00C174D3"/>
    <w:rsid w:val="00C21344"/>
    <w:rsid w:val="00C268C7"/>
    <w:rsid w:val="00C272FB"/>
    <w:rsid w:val="00C275F8"/>
    <w:rsid w:val="00C31029"/>
    <w:rsid w:val="00C31104"/>
    <w:rsid w:val="00C323CB"/>
    <w:rsid w:val="00C32474"/>
    <w:rsid w:val="00C32729"/>
    <w:rsid w:val="00C32DAE"/>
    <w:rsid w:val="00C337BA"/>
    <w:rsid w:val="00C35F1C"/>
    <w:rsid w:val="00C407E1"/>
    <w:rsid w:val="00C40B15"/>
    <w:rsid w:val="00C40DBD"/>
    <w:rsid w:val="00C413EF"/>
    <w:rsid w:val="00C41F24"/>
    <w:rsid w:val="00C42E26"/>
    <w:rsid w:val="00C43B30"/>
    <w:rsid w:val="00C44291"/>
    <w:rsid w:val="00C4451A"/>
    <w:rsid w:val="00C4463F"/>
    <w:rsid w:val="00C46330"/>
    <w:rsid w:val="00C50455"/>
    <w:rsid w:val="00C5076E"/>
    <w:rsid w:val="00C51212"/>
    <w:rsid w:val="00C54578"/>
    <w:rsid w:val="00C54727"/>
    <w:rsid w:val="00C5568C"/>
    <w:rsid w:val="00C56F7A"/>
    <w:rsid w:val="00C57F0C"/>
    <w:rsid w:val="00C6205B"/>
    <w:rsid w:val="00C6223A"/>
    <w:rsid w:val="00C631B0"/>
    <w:rsid w:val="00C6433C"/>
    <w:rsid w:val="00C66159"/>
    <w:rsid w:val="00C66684"/>
    <w:rsid w:val="00C67CCC"/>
    <w:rsid w:val="00C73832"/>
    <w:rsid w:val="00C73B15"/>
    <w:rsid w:val="00C74797"/>
    <w:rsid w:val="00C749CC"/>
    <w:rsid w:val="00C757C0"/>
    <w:rsid w:val="00C75CCF"/>
    <w:rsid w:val="00C75EA2"/>
    <w:rsid w:val="00C765B6"/>
    <w:rsid w:val="00C86877"/>
    <w:rsid w:val="00C904C7"/>
    <w:rsid w:val="00C90D4C"/>
    <w:rsid w:val="00C90DA8"/>
    <w:rsid w:val="00C90E48"/>
    <w:rsid w:val="00C9236F"/>
    <w:rsid w:val="00C93697"/>
    <w:rsid w:val="00C95F7B"/>
    <w:rsid w:val="00CA08C9"/>
    <w:rsid w:val="00CA256E"/>
    <w:rsid w:val="00CA3A73"/>
    <w:rsid w:val="00CA566F"/>
    <w:rsid w:val="00CA5DCB"/>
    <w:rsid w:val="00CA662B"/>
    <w:rsid w:val="00CB0AD8"/>
    <w:rsid w:val="00CB0CAF"/>
    <w:rsid w:val="00CB24BB"/>
    <w:rsid w:val="00CB4013"/>
    <w:rsid w:val="00CB5A9C"/>
    <w:rsid w:val="00CC0643"/>
    <w:rsid w:val="00CC0B45"/>
    <w:rsid w:val="00CC3E12"/>
    <w:rsid w:val="00CC6029"/>
    <w:rsid w:val="00CC6455"/>
    <w:rsid w:val="00CD0EE1"/>
    <w:rsid w:val="00CD1D47"/>
    <w:rsid w:val="00CD2B8B"/>
    <w:rsid w:val="00CD2E0B"/>
    <w:rsid w:val="00CD4B2F"/>
    <w:rsid w:val="00CD5362"/>
    <w:rsid w:val="00CD5A0C"/>
    <w:rsid w:val="00CE3C62"/>
    <w:rsid w:val="00CE59A9"/>
    <w:rsid w:val="00CF5DFA"/>
    <w:rsid w:val="00CF676A"/>
    <w:rsid w:val="00D01C35"/>
    <w:rsid w:val="00D02270"/>
    <w:rsid w:val="00D02BD8"/>
    <w:rsid w:val="00D03DAF"/>
    <w:rsid w:val="00D04CD4"/>
    <w:rsid w:val="00D050A0"/>
    <w:rsid w:val="00D11409"/>
    <w:rsid w:val="00D1247D"/>
    <w:rsid w:val="00D141C3"/>
    <w:rsid w:val="00D16B60"/>
    <w:rsid w:val="00D2011B"/>
    <w:rsid w:val="00D20297"/>
    <w:rsid w:val="00D206BD"/>
    <w:rsid w:val="00D2195A"/>
    <w:rsid w:val="00D22087"/>
    <w:rsid w:val="00D23489"/>
    <w:rsid w:val="00D246FE"/>
    <w:rsid w:val="00D247E5"/>
    <w:rsid w:val="00D269BB"/>
    <w:rsid w:val="00D27DCE"/>
    <w:rsid w:val="00D27EEB"/>
    <w:rsid w:val="00D31259"/>
    <w:rsid w:val="00D346C9"/>
    <w:rsid w:val="00D36C0A"/>
    <w:rsid w:val="00D36CEC"/>
    <w:rsid w:val="00D41B34"/>
    <w:rsid w:val="00D42C40"/>
    <w:rsid w:val="00D43824"/>
    <w:rsid w:val="00D44D4E"/>
    <w:rsid w:val="00D453F9"/>
    <w:rsid w:val="00D45ABA"/>
    <w:rsid w:val="00D47224"/>
    <w:rsid w:val="00D5059E"/>
    <w:rsid w:val="00D51F88"/>
    <w:rsid w:val="00D52C11"/>
    <w:rsid w:val="00D53EA6"/>
    <w:rsid w:val="00D55322"/>
    <w:rsid w:val="00D60F4B"/>
    <w:rsid w:val="00D61E7B"/>
    <w:rsid w:val="00D62389"/>
    <w:rsid w:val="00D62BE6"/>
    <w:rsid w:val="00D63EE1"/>
    <w:rsid w:val="00D64827"/>
    <w:rsid w:val="00D64CBB"/>
    <w:rsid w:val="00D65647"/>
    <w:rsid w:val="00D67216"/>
    <w:rsid w:val="00D739DC"/>
    <w:rsid w:val="00D74530"/>
    <w:rsid w:val="00D75CFB"/>
    <w:rsid w:val="00D763F0"/>
    <w:rsid w:val="00D779EB"/>
    <w:rsid w:val="00D80930"/>
    <w:rsid w:val="00D80D4A"/>
    <w:rsid w:val="00D81D78"/>
    <w:rsid w:val="00D84A8B"/>
    <w:rsid w:val="00D85345"/>
    <w:rsid w:val="00D85B1F"/>
    <w:rsid w:val="00D869B4"/>
    <w:rsid w:val="00D871BB"/>
    <w:rsid w:val="00D907ED"/>
    <w:rsid w:val="00D93039"/>
    <w:rsid w:val="00D9520D"/>
    <w:rsid w:val="00D97639"/>
    <w:rsid w:val="00DA3635"/>
    <w:rsid w:val="00DA3C83"/>
    <w:rsid w:val="00DA41DF"/>
    <w:rsid w:val="00DA55AC"/>
    <w:rsid w:val="00DB2612"/>
    <w:rsid w:val="00DB2D00"/>
    <w:rsid w:val="00DB2E40"/>
    <w:rsid w:val="00DB39DE"/>
    <w:rsid w:val="00DB49CF"/>
    <w:rsid w:val="00DB5003"/>
    <w:rsid w:val="00DC04F0"/>
    <w:rsid w:val="00DC4250"/>
    <w:rsid w:val="00DC44A5"/>
    <w:rsid w:val="00DC4902"/>
    <w:rsid w:val="00DC4F34"/>
    <w:rsid w:val="00DC4F54"/>
    <w:rsid w:val="00DC5FBE"/>
    <w:rsid w:val="00DC6D21"/>
    <w:rsid w:val="00DC7130"/>
    <w:rsid w:val="00DD18AF"/>
    <w:rsid w:val="00DD4DF4"/>
    <w:rsid w:val="00DD53BB"/>
    <w:rsid w:val="00DD55AF"/>
    <w:rsid w:val="00DD65C8"/>
    <w:rsid w:val="00DD6EB7"/>
    <w:rsid w:val="00DD701B"/>
    <w:rsid w:val="00DD7026"/>
    <w:rsid w:val="00DD707E"/>
    <w:rsid w:val="00DE03EE"/>
    <w:rsid w:val="00DE2D11"/>
    <w:rsid w:val="00DE37FC"/>
    <w:rsid w:val="00DE3FA2"/>
    <w:rsid w:val="00DE557D"/>
    <w:rsid w:val="00DE66D0"/>
    <w:rsid w:val="00DE6769"/>
    <w:rsid w:val="00DE67A0"/>
    <w:rsid w:val="00DE7F94"/>
    <w:rsid w:val="00DF12F9"/>
    <w:rsid w:val="00DF2F9B"/>
    <w:rsid w:val="00DF31BC"/>
    <w:rsid w:val="00DF3547"/>
    <w:rsid w:val="00DF3669"/>
    <w:rsid w:val="00DF398D"/>
    <w:rsid w:val="00DF3B10"/>
    <w:rsid w:val="00DF6A55"/>
    <w:rsid w:val="00E00641"/>
    <w:rsid w:val="00E024A6"/>
    <w:rsid w:val="00E0260A"/>
    <w:rsid w:val="00E0476D"/>
    <w:rsid w:val="00E05F34"/>
    <w:rsid w:val="00E074A5"/>
    <w:rsid w:val="00E074D1"/>
    <w:rsid w:val="00E07E0F"/>
    <w:rsid w:val="00E10036"/>
    <w:rsid w:val="00E10427"/>
    <w:rsid w:val="00E11956"/>
    <w:rsid w:val="00E15F18"/>
    <w:rsid w:val="00E16232"/>
    <w:rsid w:val="00E176A8"/>
    <w:rsid w:val="00E20CBC"/>
    <w:rsid w:val="00E217E9"/>
    <w:rsid w:val="00E23C42"/>
    <w:rsid w:val="00E243F6"/>
    <w:rsid w:val="00E259BF"/>
    <w:rsid w:val="00E25E1A"/>
    <w:rsid w:val="00E3020F"/>
    <w:rsid w:val="00E3043A"/>
    <w:rsid w:val="00E32E6B"/>
    <w:rsid w:val="00E36FF2"/>
    <w:rsid w:val="00E377B2"/>
    <w:rsid w:val="00E37977"/>
    <w:rsid w:val="00E40000"/>
    <w:rsid w:val="00E42565"/>
    <w:rsid w:val="00E43EE7"/>
    <w:rsid w:val="00E44461"/>
    <w:rsid w:val="00E44DD7"/>
    <w:rsid w:val="00E47D83"/>
    <w:rsid w:val="00E52D50"/>
    <w:rsid w:val="00E53201"/>
    <w:rsid w:val="00E5388F"/>
    <w:rsid w:val="00E53FBF"/>
    <w:rsid w:val="00E54A9F"/>
    <w:rsid w:val="00E55203"/>
    <w:rsid w:val="00E65699"/>
    <w:rsid w:val="00E67FA6"/>
    <w:rsid w:val="00E76A1C"/>
    <w:rsid w:val="00E774BB"/>
    <w:rsid w:val="00E77B11"/>
    <w:rsid w:val="00E81C6B"/>
    <w:rsid w:val="00E831ED"/>
    <w:rsid w:val="00E848CC"/>
    <w:rsid w:val="00E84A1B"/>
    <w:rsid w:val="00E850E3"/>
    <w:rsid w:val="00E90BE4"/>
    <w:rsid w:val="00E91F42"/>
    <w:rsid w:val="00E93457"/>
    <w:rsid w:val="00E93536"/>
    <w:rsid w:val="00E94E73"/>
    <w:rsid w:val="00EA386F"/>
    <w:rsid w:val="00EA3F47"/>
    <w:rsid w:val="00EA4AEE"/>
    <w:rsid w:val="00EA4DDF"/>
    <w:rsid w:val="00EA4FD4"/>
    <w:rsid w:val="00EB2BD4"/>
    <w:rsid w:val="00EB3204"/>
    <w:rsid w:val="00EB4553"/>
    <w:rsid w:val="00EB747F"/>
    <w:rsid w:val="00EC18C1"/>
    <w:rsid w:val="00EC2F14"/>
    <w:rsid w:val="00EC7E4E"/>
    <w:rsid w:val="00ED0008"/>
    <w:rsid w:val="00ED09C9"/>
    <w:rsid w:val="00ED1CA8"/>
    <w:rsid w:val="00ED1E5C"/>
    <w:rsid w:val="00ED2C58"/>
    <w:rsid w:val="00ED4424"/>
    <w:rsid w:val="00ED479F"/>
    <w:rsid w:val="00ED4AFC"/>
    <w:rsid w:val="00ED4CA8"/>
    <w:rsid w:val="00ED5367"/>
    <w:rsid w:val="00ED79BB"/>
    <w:rsid w:val="00EE1F06"/>
    <w:rsid w:val="00EE45EC"/>
    <w:rsid w:val="00EE7CC0"/>
    <w:rsid w:val="00EF0B6D"/>
    <w:rsid w:val="00EF4FC6"/>
    <w:rsid w:val="00EF515F"/>
    <w:rsid w:val="00EF5E55"/>
    <w:rsid w:val="00F02D42"/>
    <w:rsid w:val="00F039D5"/>
    <w:rsid w:val="00F04398"/>
    <w:rsid w:val="00F04E78"/>
    <w:rsid w:val="00F05C8D"/>
    <w:rsid w:val="00F07D27"/>
    <w:rsid w:val="00F10C96"/>
    <w:rsid w:val="00F112AC"/>
    <w:rsid w:val="00F12B05"/>
    <w:rsid w:val="00F151E9"/>
    <w:rsid w:val="00F1545D"/>
    <w:rsid w:val="00F16438"/>
    <w:rsid w:val="00F1715B"/>
    <w:rsid w:val="00F17732"/>
    <w:rsid w:val="00F17F30"/>
    <w:rsid w:val="00F2022E"/>
    <w:rsid w:val="00F218A3"/>
    <w:rsid w:val="00F235AD"/>
    <w:rsid w:val="00F23D61"/>
    <w:rsid w:val="00F261CF"/>
    <w:rsid w:val="00F3004E"/>
    <w:rsid w:val="00F30290"/>
    <w:rsid w:val="00F30DFF"/>
    <w:rsid w:val="00F3427D"/>
    <w:rsid w:val="00F37FF9"/>
    <w:rsid w:val="00F41F97"/>
    <w:rsid w:val="00F42969"/>
    <w:rsid w:val="00F45162"/>
    <w:rsid w:val="00F452C4"/>
    <w:rsid w:val="00F46223"/>
    <w:rsid w:val="00F4626C"/>
    <w:rsid w:val="00F46B7E"/>
    <w:rsid w:val="00F51F42"/>
    <w:rsid w:val="00F52B08"/>
    <w:rsid w:val="00F53A67"/>
    <w:rsid w:val="00F55F53"/>
    <w:rsid w:val="00F60314"/>
    <w:rsid w:val="00F605F7"/>
    <w:rsid w:val="00F612A7"/>
    <w:rsid w:val="00F612F5"/>
    <w:rsid w:val="00F627CA"/>
    <w:rsid w:val="00F62B85"/>
    <w:rsid w:val="00F6389D"/>
    <w:rsid w:val="00F65142"/>
    <w:rsid w:val="00F71EA2"/>
    <w:rsid w:val="00F7220D"/>
    <w:rsid w:val="00F73F25"/>
    <w:rsid w:val="00F74CE5"/>
    <w:rsid w:val="00F74D6A"/>
    <w:rsid w:val="00F75227"/>
    <w:rsid w:val="00F76634"/>
    <w:rsid w:val="00F7705E"/>
    <w:rsid w:val="00F8106D"/>
    <w:rsid w:val="00F85886"/>
    <w:rsid w:val="00F8751C"/>
    <w:rsid w:val="00F87D87"/>
    <w:rsid w:val="00F94471"/>
    <w:rsid w:val="00F95B14"/>
    <w:rsid w:val="00F9780E"/>
    <w:rsid w:val="00F978A9"/>
    <w:rsid w:val="00FA1A82"/>
    <w:rsid w:val="00FA50A3"/>
    <w:rsid w:val="00FB06B6"/>
    <w:rsid w:val="00FB1EE0"/>
    <w:rsid w:val="00FB476F"/>
    <w:rsid w:val="00FB5A19"/>
    <w:rsid w:val="00FB6468"/>
    <w:rsid w:val="00FC0CE5"/>
    <w:rsid w:val="00FC1B82"/>
    <w:rsid w:val="00FC27DE"/>
    <w:rsid w:val="00FC6DBC"/>
    <w:rsid w:val="00FD30A6"/>
    <w:rsid w:val="00FD3D7C"/>
    <w:rsid w:val="00FD540C"/>
    <w:rsid w:val="00FD55A7"/>
    <w:rsid w:val="00FD5A39"/>
    <w:rsid w:val="00FD60AE"/>
    <w:rsid w:val="00FD673C"/>
    <w:rsid w:val="00FD76DA"/>
    <w:rsid w:val="00FE2049"/>
    <w:rsid w:val="00FE3BB9"/>
    <w:rsid w:val="00FE43CA"/>
    <w:rsid w:val="00FE730B"/>
    <w:rsid w:val="00FE75EA"/>
    <w:rsid w:val="00FF02B7"/>
    <w:rsid w:val="00FF2205"/>
    <w:rsid w:val="00FF3361"/>
    <w:rsid w:val="00FF5C63"/>
    <w:rsid w:val="00FF7D76"/>
    <w:rsid w:val="040900E3"/>
    <w:rsid w:val="04341379"/>
    <w:rsid w:val="0F146B74"/>
    <w:rsid w:val="0F3A0FD2"/>
    <w:rsid w:val="171933EC"/>
    <w:rsid w:val="19E7041A"/>
    <w:rsid w:val="1B7D49D6"/>
    <w:rsid w:val="21672179"/>
    <w:rsid w:val="294B5BD1"/>
    <w:rsid w:val="2C347157"/>
    <w:rsid w:val="36E573AC"/>
    <w:rsid w:val="4433BF81"/>
    <w:rsid w:val="44684021"/>
    <w:rsid w:val="466C4989"/>
    <w:rsid w:val="475B7ADA"/>
    <w:rsid w:val="489A0918"/>
    <w:rsid w:val="4B9AC4D3"/>
    <w:rsid w:val="4E3B8E56"/>
    <w:rsid w:val="540E2BA1"/>
    <w:rsid w:val="583226E9"/>
    <w:rsid w:val="590313CE"/>
    <w:rsid w:val="69267DCE"/>
    <w:rsid w:val="696900F5"/>
    <w:rsid w:val="7517D92D"/>
    <w:rsid w:val="7E33B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927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2E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 w:cs="Arial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4C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C757C0"/>
    <w:pPr>
      <w:keepNext/>
      <w:keepLines/>
      <w:numPr>
        <w:ilvl w:val="6"/>
        <w:numId w:val="13"/>
      </w:numPr>
      <w:overflowPunct/>
      <w:autoSpaceDE/>
      <w:autoSpaceDN/>
      <w:adjustRightInd/>
      <w:spacing w:before="40"/>
      <w:textAlignment w:val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C757C0"/>
    <w:pPr>
      <w:keepNext/>
      <w:keepLines/>
      <w:numPr>
        <w:ilvl w:val="7"/>
        <w:numId w:val="13"/>
      </w:numPr>
      <w:overflowPunct/>
      <w:autoSpaceDE/>
      <w:autoSpaceDN/>
      <w:adjustRightInd/>
      <w:spacing w:before="40"/>
      <w:textAlignment w:val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C757C0"/>
    <w:pPr>
      <w:keepNext/>
      <w:keepLines/>
      <w:numPr>
        <w:ilvl w:val="8"/>
        <w:numId w:val="13"/>
      </w:numPr>
      <w:overflowPunct/>
      <w:autoSpaceDE/>
      <w:autoSpaceDN/>
      <w:adjustRightInd/>
      <w:spacing w:before="40"/>
      <w:textAlignment w:val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sz w:val="28"/>
      <w:szCs w:val="24"/>
      <w:u w:val="single"/>
    </w:rPr>
  </w:style>
  <w:style w:type="paragraph" w:styleId="Zkladntextodsazen3">
    <w:name w:val="Body Text Indent 3"/>
    <w:basedOn w:val="Normln"/>
    <w:semiHidden/>
    <w:pPr>
      <w:widowControl w:val="0"/>
      <w:overflowPunct/>
      <w:ind w:left="567"/>
      <w:textAlignment w:val="auto"/>
    </w:pPr>
  </w:style>
  <w:style w:type="paragraph" w:styleId="Zkladntext">
    <w:name w:val="Body Text"/>
    <w:basedOn w:val="Normln"/>
    <w:semiHidden/>
    <w:pPr>
      <w:widowControl w:val="0"/>
      <w:overflowPunct/>
      <w:textAlignment w:val="auto"/>
    </w:pPr>
    <w:rPr>
      <w:sz w:val="24"/>
      <w:szCs w:val="16"/>
    </w:rPr>
  </w:style>
  <w:style w:type="paragraph" w:styleId="Zkladntextodsazen">
    <w:name w:val="Body Text Indent"/>
    <w:basedOn w:val="Normln"/>
    <w:semiHidden/>
    <w:pPr>
      <w:widowControl w:val="0"/>
      <w:overflowPunct/>
      <w:ind w:firstLine="720"/>
      <w:textAlignment w:val="auto"/>
    </w:pPr>
    <w:rPr>
      <w:b/>
      <w:bCs/>
      <w:color w:val="FF0000"/>
      <w:sz w:val="24"/>
      <w:szCs w:val="16"/>
      <w:u w:val="single"/>
    </w:rPr>
  </w:style>
  <w:style w:type="paragraph" w:customStyle="1" w:styleId="CELEX">
    <w:name w:val="CELEX"/>
    <w:basedOn w:val="Normln"/>
    <w:next w:val="Normln"/>
    <w:pPr>
      <w:overflowPunct/>
      <w:autoSpaceDE/>
      <w:autoSpaceDN/>
      <w:adjustRightInd/>
      <w:spacing w:before="60"/>
      <w:textAlignment w:val="auto"/>
    </w:pPr>
    <w:rPr>
      <w:i/>
    </w:rPr>
  </w:style>
  <w:style w:type="paragraph" w:styleId="Normlnweb">
    <w:name w:val="Normal (Web)"/>
    <w:basedOn w:val="Normln"/>
    <w:semiHidden/>
    <w:pPr>
      <w:overflowPunct/>
      <w:autoSpaceDE/>
      <w:autoSpaceDN/>
      <w:adjustRightInd/>
      <w:spacing w:before="150" w:after="150"/>
      <w:ind w:left="675" w:right="525"/>
      <w:textAlignment w:val="auto"/>
    </w:pPr>
    <w:rPr>
      <w:rFonts w:ascii="Arial Unicode MS" w:eastAsia="Arial Unicode MS" w:hAnsi="Arial Unicode MS" w:cs="Arial Unicode MS"/>
      <w:sz w:val="19"/>
      <w:szCs w:val="19"/>
    </w:rPr>
  </w:style>
  <w:style w:type="paragraph" w:styleId="Zkladntext2">
    <w:name w:val="Body Text 2"/>
    <w:basedOn w:val="Normln"/>
    <w:semiHidden/>
    <w:rPr>
      <w:szCs w:val="18"/>
    </w:rPr>
  </w:style>
  <w:style w:type="paragraph" w:styleId="Prosttext">
    <w:name w:val="Plain Text"/>
    <w:basedOn w:val="Normln"/>
    <w:semiHidden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semiHidden/>
    <w:unhideWhenUsed/>
    <w:rsid w:val="003B25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520"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unhideWhenUsed/>
    <w:rsid w:val="00273EF1"/>
  </w:style>
  <w:style w:type="character" w:customStyle="1" w:styleId="TextkomenteChar">
    <w:name w:val="Text komentáře Char"/>
    <w:basedOn w:val="Standardnpsmoodstavce"/>
    <w:link w:val="Textkomente"/>
    <w:uiPriority w:val="99"/>
    <w:rsid w:val="00273EF1"/>
  </w:style>
  <w:style w:type="paragraph" w:styleId="Pedmtkomente">
    <w:name w:val="annotation subject"/>
    <w:basedOn w:val="Textkomente"/>
    <w:next w:val="Textkomente"/>
    <w:link w:val="PedmtkomenteChar"/>
    <w:semiHidden/>
    <w:rsid w:val="00273EF1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273EF1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A970B4"/>
  </w:style>
  <w:style w:type="character" w:styleId="Odkaznakoment">
    <w:name w:val="annotation reference"/>
    <w:uiPriority w:val="99"/>
    <w:semiHidden/>
    <w:unhideWhenUsed/>
    <w:rsid w:val="005D1776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B34"/>
    <w:pPr>
      <w:ind w:left="720"/>
      <w:contextualSpacing/>
    </w:pPr>
  </w:style>
  <w:style w:type="table" w:styleId="Mkatabulky">
    <w:name w:val="Table Grid"/>
    <w:basedOn w:val="Normlntabulka"/>
    <w:uiPriority w:val="59"/>
    <w:rsid w:val="00D03DA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9"/>
    <w:rsid w:val="00D04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dpislnku">
    <w:name w:val="Nadpis článku"/>
    <w:basedOn w:val="Normln"/>
    <w:next w:val="Normln"/>
    <w:rsid w:val="004725B3"/>
    <w:pPr>
      <w:keepNext/>
      <w:keepLines/>
      <w:overflowPunct/>
      <w:autoSpaceDE/>
      <w:autoSpaceDN/>
      <w:adjustRightInd/>
      <w:spacing w:before="240"/>
      <w:jc w:val="center"/>
      <w:textAlignment w:val="auto"/>
      <w:outlineLvl w:val="5"/>
    </w:pPr>
    <w:rPr>
      <w:b/>
      <w:sz w:val="24"/>
    </w:rPr>
  </w:style>
  <w:style w:type="character" w:customStyle="1" w:styleId="ZhlavChar">
    <w:name w:val="Záhlaví Char"/>
    <w:basedOn w:val="Standardnpsmoodstavce"/>
    <w:link w:val="Zhlav"/>
    <w:semiHidden/>
    <w:rsid w:val="00003717"/>
  </w:style>
  <w:style w:type="paragraph" w:customStyle="1" w:styleId="nadpiszkona">
    <w:name w:val="nadpis zákona"/>
    <w:basedOn w:val="Normln"/>
    <w:next w:val="Normln"/>
    <w:rsid w:val="00530EA3"/>
    <w:pPr>
      <w:keepNext/>
      <w:keepLines/>
      <w:overflowPunct/>
      <w:autoSpaceDE/>
      <w:autoSpaceDN/>
      <w:adjustRightInd/>
      <w:spacing w:before="120"/>
      <w:jc w:val="center"/>
      <w:textAlignment w:val="auto"/>
      <w:outlineLvl w:val="0"/>
    </w:pPr>
    <w:rPr>
      <w:b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757C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757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757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aragraf">
    <w:name w:val="Paragraf"/>
    <w:basedOn w:val="Normln"/>
    <w:next w:val="Textodstavce"/>
    <w:link w:val="ParagrafChar"/>
    <w:qFormat/>
    <w:rsid w:val="00C757C0"/>
    <w:pPr>
      <w:keepNext/>
      <w:keepLines/>
      <w:numPr>
        <w:numId w:val="13"/>
      </w:numPr>
      <w:overflowPunct/>
      <w:autoSpaceDE/>
      <w:autoSpaceDN/>
      <w:adjustRightInd/>
      <w:spacing w:before="240"/>
      <w:jc w:val="center"/>
      <w:textAlignment w:val="auto"/>
      <w:outlineLvl w:val="5"/>
    </w:pPr>
    <w:rPr>
      <w:sz w:val="24"/>
    </w:rPr>
  </w:style>
  <w:style w:type="paragraph" w:customStyle="1" w:styleId="lnek">
    <w:name w:val="Článek"/>
    <w:basedOn w:val="Normln"/>
    <w:next w:val="Textodstavce"/>
    <w:rsid w:val="00C757C0"/>
    <w:pPr>
      <w:keepNext/>
      <w:keepLines/>
      <w:numPr>
        <w:ilvl w:val="1"/>
        <w:numId w:val="13"/>
      </w:numPr>
      <w:overflowPunct/>
      <w:autoSpaceDE/>
      <w:autoSpaceDN/>
      <w:adjustRightInd/>
      <w:spacing w:before="240"/>
      <w:jc w:val="center"/>
      <w:textAlignment w:val="auto"/>
      <w:outlineLvl w:val="5"/>
    </w:pPr>
    <w:rPr>
      <w:sz w:val="24"/>
    </w:rPr>
  </w:style>
  <w:style w:type="paragraph" w:customStyle="1" w:styleId="Novelizanbod">
    <w:name w:val="Novelizační bod"/>
    <w:basedOn w:val="Normln"/>
    <w:next w:val="Normln"/>
    <w:link w:val="NovelizanbodChar"/>
    <w:qFormat/>
    <w:rsid w:val="00C757C0"/>
    <w:pPr>
      <w:keepNext/>
      <w:keepLines/>
      <w:numPr>
        <w:numId w:val="12"/>
      </w:numPr>
      <w:tabs>
        <w:tab w:val="left" w:pos="851"/>
      </w:tabs>
      <w:overflowPunct/>
      <w:autoSpaceDE/>
      <w:autoSpaceDN/>
      <w:adjustRightInd/>
      <w:spacing w:before="480" w:after="120"/>
      <w:textAlignment w:val="auto"/>
    </w:pPr>
    <w:rPr>
      <w:sz w:val="24"/>
    </w:rPr>
  </w:style>
  <w:style w:type="paragraph" w:customStyle="1" w:styleId="Textbodu">
    <w:name w:val="Text bodu"/>
    <w:basedOn w:val="Normln"/>
    <w:rsid w:val="00C757C0"/>
    <w:pPr>
      <w:numPr>
        <w:ilvl w:val="4"/>
        <w:numId w:val="13"/>
      </w:numPr>
      <w:overflowPunct/>
      <w:autoSpaceDE/>
      <w:autoSpaceDN/>
      <w:adjustRightInd/>
      <w:textAlignment w:val="auto"/>
      <w:outlineLvl w:val="8"/>
    </w:pPr>
    <w:rPr>
      <w:sz w:val="24"/>
    </w:rPr>
  </w:style>
  <w:style w:type="paragraph" w:customStyle="1" w:styleId="Textpsmene">
    <w:name w:val="Text písmene"/>
    <w:basedOn w:val="Normln"/>
    <w:link w:val="TextpsmeneChar"/>
    <w:rsid w:val="00C757C0"/>
    <w:pPr>
      <w:numPr>
        <w:ilvl w:val="3"/>
        <w:numId w:val="13"/>
      </w:numPr>
      <w:overflowPunct/>
      <w:autoSpaceDE/>
      <w:autoSpaceDN/>
      <w:adjustRightInd/>
      <w:textAlignment w:val="auto"/>
      <w:outlineLvl w:val="7"/>
    </w:pPr>
    <w:rPr>
      <w:sz w:val="24"/>
    </w:rPr>
  </w:style>
  <w:style w:type="paragraph" w:customStyle="1" w:styleId="Textodstavce">
    <w:name w:val="Text odstavce"/>
    <w:basedOn w:val="Normln"/>
    <w:link w:val="TextodstavceChar"/>
    <w:rsid w:val="00C757C0"/>
    <w:pPr>
      <w:numPr>
        <w:ilvl w:val="2"/>
        <w:numId w:val="13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sz w:val="24"/>
    </w:rPr>
  </w:style>
  <w:style w:type="paragraph" w:customStyle="1" w:styleId="Nadpisparagrafu">
    <w:name w:val="Nadpis paragrafu"/>
    <w:basedOn w:val="Paragraf"/>
    <w:next w:val="Textodstavce"/>
    <w:link w:val="NadpisparagrafuChar2"/>
    <w:rsid w:val="00C757C0"/>
    <w:rPr>
      <w:b/>
    </w:rPr>
  </w:style>
  <w:style w:type="character" w:customStyle="1" w:styleId="NovelizanbodChar">
    <w:name w:val="Novelizační bod Char"/>
    <w:link w:val="Novelizanbod"/>
    <w:locked/>
    <w:rsid w:val="00C757C0"/>
    <w:rPr>
      <w:sz w:val="24"/>
    </w:rPr>
  </w:style>
  <w:style w:type="character" w:customStyle="1" w:styleId="TextpsmeneChar">
    <w:name w:val="Text písmene Char"/>
    <w:link w:val="Textpsmene"/>
    <w:rsid w:val="00C757C0"/>
    <w:rPr>
      <w:sz w:val="24"/>
    </w:rPr>
  </w:style>
  <w:style w:type="character" w:customStyle="1" w:styleId="TextodstavceChar">
    <w:name w:val="Text odstavce Char"/>
    <w:link w:val="Textodstavce"/>
    <w:rsid w:val="00C757C0"/>
    <w:rPr>
      <w:sz w:val="24"/>
    </w:rPr>
  </w:style>
  <w:style w:type="character" w:customStyle="1" w:styleId="NadpisparagrafuChar2">
    <w:name w:val="Nadpis paragrafu Char2"/>
    <w:link w:val="Nadpisparagrafu"/>
    <w:rsid w:val="00C757C0"/>
    <w:rPr>
      <w:b/>
      <w:sz w:val="24"/>
    </w:rPr>
  </w:style>
  <w:style w:type="character" w:customStyle="1" w:styleId="ParagrafChar">
    <w:name w:val="Paragraf Char"/>
    <w:link w:val="Paragraf"/>
    <w:qFormat/>
    <w:rsid w:val="00C757C0"/>
    <w:rPr>
      <w:sz w:val="24"/>
    </w:rPr>
  </w:style>
  <w:style w:type="paragraph" w:customStyle="1" w:styleId="CM1">
    <w:name w:val="CM1"/>
    <w:basedOn w:val="Normln"/>
    <w:next w:val="Normln"/>
    <w:uiPriority w:val="99"/>
    <w:rsid w:val="0032248E"/>
    <w:pPr>
      <w:overflowPunct/>
      <w:textAlignment w:val="auto"/>
    </w:pPr>
    <w:rPr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32248E"/>
    <w:pPr>
      <w:overflowPunct/>
      <w:textAlignment w:val="auto"/>
    </w:pPr>
    <w:rPr>
      <w:sz w:val="24"/>
      <w:szCs w:val="24"/>
    </w:rPr>
  </w:style>
  <w:style w:type="paragraph" w:customStyle="1" w:styleId="CM4">
    <w:name w:val="CM4"/>
    <w:basedOn w:val="Normln"/>
    <w:next w:val="Normln"/>
    <w:uiPriority w:val="99"/>
    <w:rsid w:val="00DB2E40"/>
    <w:pPr>
      <w:overflowPunct/>
      <w:textAlignment w:val="auto"/>
    </w:pPr>
    <w:rPr>
      <w:sz w:val="24"/>
      <w:szCs w:val="24"/>
    </w:rPr>
  </w:style>
  <w:style w:type="paragraph" w:customStyle="1" w:styleId="PZTextodstavce">
    <w:name w:val="PZ Text odstavce"/>
    <w:basedOn w:val="Textodstavce"/>
    <w:qFormat/>
    <w:rsid w:val="00C10AEB"/>
    <w:pPr>
      <w:numPr>
        <w:ilvl w:val="0"/>
        <w:numId w:val="0"/>
      </w:numPr>
      <w:tabs>
        <w:tab w:val="left" w:pos="782"/>
      </w:tabs>
      <w:ind w:firstLine="425"/>
    </w:pPr>
  </w:style>
  <w:style w:type="paragraph" w:customStyle="1" w:styleId="Textparagrafu">
    <w:name w:val="Text paragrafu"/>
    <w:basedOn w:val="Normln"/>
    <w:link w:val="TextparagrafuChar"/>
    <w:rsid w:val="000F6E9A"/>
    <w:pPr>
      <w:overflowPunct/>
      <w:autoSpaceDE/>
      <w:autoSpaceDN/>
      <w:adjustRightInd/>
      <w:spacing w:before="240"/>
      <w:ind w:firstLine="425"/>
      <w:textAlignment w:val="auto"/>
      <w:outlineLvl w:val="5"/>
    </w:pPr>
    <w:rPr>
      <w:sz w:val="24"/>
    </w:rPr>
  </w:style>
  <w:style w:type="paragraph" w:customStyle="1" w:styleId="PZTextpsmene">
    <w:name w:val="PZ Text písmene"/>
    <w:basedOn w:val="Textpsmene"/>
    <w:qFormat/>
    <w:rsid w:val="000F6E9A"/>
    <w:pPr>
      <w:numPr>
        <w:ilvl w:val="0"/>
        <w:numId w:val="0"/>
      </w:numPr>
      <w:ind w:left="425" w:hanging="425"/>
    </w:pPr>
  </w:style>
  <w:style w:type="paragraph" w:customStyle="1" w:styleId="PZTextbodu">
    <w:name w:val="PZ Text bodu"/>
    <w:basedOn w:val="Textbodu"/>
    <w:qFormat/>
    <w:rsid w:val="000F6E9A"/>
    <w:pPr>
      <w:numPr>
        <w:ilvl w:val="0"/>
        <w:numId w:val="0"/>
      </w:numPr>
      <w:tabs>
        <w:tab w:val="left" w:pos="851"/>
      </w:tabs>
      <w:ind w:left="850" w:hanging="425"/>
    </w:pPr>
  </w:style>
  <w:style w:type="character" w:customStyle="1" w:styleId="TextparagrafuChar">
    <w:name w:val="Text paragrafu Char"/>
    <w:link w:val="Textparagrafu"/>
    <w:locked/>
    <w:rsid w:val="000F6E9A"/>
    <w:rPr>
      <w:sz w:val="24"/>
    </w:rPr>
  </w:style>
  <w:style w:type="paragraph" w:styleId="Revize">
    <w:name w:val="Revision"/>
    <w:hidden/>
    <w:uiPriority w:val="99"/>
    <w:semiHidden/>
    <w:rsid w:val="001D3110"/>
  </w:style>
  <w:style w:type="character" w:customStyle="1" w:styleId="normaltextrun">
    <w:name w:val="normaltextrun"/>
    <w:basedOn w:val="Standardnpsmoodstavce"/>
    <w:rsid w:val="00AB1906"/>
  </w:style>
  <w:style w:type="paragraph" w:customStyle="1" w:styleId="paragraph">
    <w:name w:val="paragraph"/>
    <w:basedOn w:val="Normln"/>
    <w:rsid w:val="00ED09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eop">
    <w:name w:val="eop"/>
    <w:basedOn w:val="Standardnpsmoodstavce"/>
    <w:rsid w:val="00ED0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39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29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7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3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4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5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981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5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776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1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3719CD9D0904FBF532A93E59AD3B1" ma:contentTypeVersion="6" ma:contentTypeDescription="Vytvoří nový dokument" ma:contentTypeScope="" ma:versionID="f7f97c6efd495b516a0924c4a221e76f">
  <xsd:schema xmlns:xsd="http://www.w3.org/2001/XMLSchema" xmlns:xs="http://www.w3.org/2001/XMLSchema" xmlns:p="http://schemas.microsoft.com/office/2006/metadata/properties" xmlns:ns2="3f6dce20-f459-43b2-9881-54dab893ba36" xmlns:ns3="12b5b2e2-4a67-4b8e-9910-329339df1d91" targetNamespace="http://schemas.microsoft.com/office/2006/metadata/properties" ma:root="true" ma:fieldsID="edafe5acf18eec6c9f014dfd8402a136" ns2:_="" ns3:_="">
    <xsd:import namespace="3f6dce20-f459-43b2-9881-54dab893ba36"/>
    <xsd:import namespace="12b5b2e2-4a67-4b8e-9910-329339df1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dce20-f459-43b2-9881-54dab893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b2e2-4a67-4b8e-9910-329339df1d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B0700-52F3-4101-BC5F-A2A7ED5EF2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A42A5-1140-4FA9-8AD8-B460FF040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2C860-AE7F-4BA8-876A-CA4951983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dce20-f459-43b2-9881-54dab893ba36"/>
    <ds:schemaRef ds:uri="12b5b2e2-4a67-4b8e-9910-329339df1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5D1B8A-4476-4340-BC9A-B4BC85FD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1131</Words>
  <Characters>6885</Characters>
  <Application>Microsoft Office Word</Application>
  <DocSecurity>0</DocSecurity>
  <Lines>57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2025-06-16T13:20:00Z</dcterms:created>
  <dcterms:modified xsi:type="dcterms:W3CDTF">2025-06-18T11:45:00Z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0x0101000813719CD9D0904FBF532A93E59AD3B1</vt:lpwstr>
  </property>
</Properties>
</file>