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E8E9" w14:textId="77777777" w:rsidR="009018ED" w:rsidRPr="009018ED" w:rsidRDefault="006839AF" w:rsidP="009018ED">
      <w:pPr>
        <w:pStyle w:val="Zhlav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9018ED" w:rsidRPr="009018ED">
        <w:rPr>
          <w:rFonts w:ascii="Times New Roman" w:hAnsi="Times New Roman"/>
          <w:b/>
          <w:sz w:val="24"/>
          <w:szCs w:val="24"/>
        </w:rPr>
        <w:t>I.</w:t>
      </w:r>
    </w:p>
    <w:p w14:paraId="62600105" w14:textId="77777777" w:rsidR="009018ED" w:rsidRPr="009018ED" w:rsidRDefault="009018ED" w:rsidP="009018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13F682" w14:textId="77777777" w:rsidR="008F5B78" w:rsidRPr="00B34C2F" w:rsidRDefault="00B34C2F" w:rsidP="00B34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Předkládací zpráva</w:t>
      </w:r>
    </w:p>
    <w:p w14:paraId="50E49CF6" w14:textId="77777777" w:rsidR="008F5B78" w:rsidRPr="009018ED" w:rsidRDefault="008F5B78" w:rsidP="00901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666AFF" w14:textId="44D62ECC" w:rsidR="00A570EB" w:rsidRDefault="00563951" w:rsidP="00E557E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Účelem</w:t>
      </w:r>
      <w:r w:rsidR="00B34C2F">
        <w:rPr>
          <w:rFonts w:ascii="Times New Roman" w:hAnsi="Times New Roman"/>
          <w:sz w:val="24"/>
          <w:szCs w:val="24"/>
        </w:rPr>
        <w:t xml:space="preserve"> </w:t>
      </w:r>
      <w:r w:rsidR="008F5B78" w:rsidRPr="009018ED">
        <w:rPr>
          <w:rFonts w:ascii="Times New Roman" w:hAnsi="Times New Roman"/>
          <w:sz w:val="24"/>
          <w:szCs w:val="24"/>
        </w:rPr>
        <w:t>návrhu zákona</w:t>
      </w:r>
      <w:r w:rsidR="00A570EB">
        <w:rPr>
          <w:rFonts w:ascii="Times New Roman" w:hAnsi="Times New Roman"/>
          <w:sz w:val="24"/>
          <w:szCs w:val="24"/>
        </w:rPr>
        <w:t xml:space="preserve">, </w:t>
      </w:r>
      <w:r w:rsidR="00A570EB" w:rsidRPr="00A570EB">
        <w:rPr>
          <w:rFonts w:ascii="Times New Roman" w:hAnsi="Times New Roman"/>
          <w:sz w:val="24"/>
          <w:szCs w:val="24"/>
        </w:rPr>
        <w:t>kterým se mění zákon č. 297/2016 Sb., o službách vytvářejících důvěru pro elektronické transakce, ve znění pozdějších předpisů, a další související zákony</w:t>
      </w:r>
      <w:r w:rsidR="00D95DDA">
        <w:rPr>
          <w:rFonts w:ascii="Times New Roman" w:hAnsi="Times New Roman"/>
          <w:sz w:val="24"/>
          <w:szCs w:val="24"/>
        </w:rPr>
        <w:t>,</w:t>
      </w:r>
      <w:r w:rsidR="00A570EB">
        <w:rPr>
          <w:rFonts w:ascii="Times New Roman" w:hAnsi="Times New Roman"/>
          <w:sz w:val="24"/>
          <w:szCs w:val="24"/>
        </w:rPr>
        <w:t xml:space="preserve"> </w:t>
      </w:r>
      <w:r w:rsidR="008F5B78" w:rsidRPr="009018ED">
        <w:rPr>
          <w:rFonts w:ascii="Times New Roman" w:hAnsi="Times New Roman"/>
          <w:sz w:val="24"/>
          <w:szCs w:val="24"/>
        </w:rPr>
        <w:t>je ad</w:t>
      </w:r>
      <w:r w:rsidR="00B34C2F">
        <w:rPr>
          <w:rFonts w:ascii="Times New Roman" w:hAnsi="Times New Roman"/>
          <w:sz w:val="24"/>
          <w:szCs w:val="24"/>
        </w:rPr>
        <w:t xml:space="preserve">aptace právního řádu </w:t>
      </w:r>
      <w:r w:rsidR="0034537A">
        <w:rPr>
          <w:rFonts w:ascii="Times New Roman" w:hAnsi="Times New Roman"/>
          <w:sz w:val="24"/>
          <w:szCs w:val="24"/>
        </w:rPr>
        <w:t xml:space="preserve">České republiky </w:t>
      </w:r>
      <w:r w:rsidR="008F5B78" w:rsidRPr="009018ED">
        <w:rPr>
          <w:rFonts w:ascii="Times New Roman" w:hAnsi="Times New Roman"/>
          <w:sz w:val="24"/>
          <w:szCs w:val="24"/>
        </w:rPr>
        <w:t xml:space="preserve">na </w:t>
      </w:r>
      <w:bookmarkStart w:id="0" w:name="_Hlk201765889"/>
      <w:r w:rsidR="003B5CE0">
        <w:rPr>
          <w:rFonts w:ascii="Times New Roman" w:hAnsi="Times New Roman"/>
          <w:sz w:val="24"/>
          <w:szCs w:val="24"/>
        </w:rPr>
        <w:t>n</w:t>
      </w:r>
      <w:r w:rsidR="00A570EB" w:rsidRPr="00A570EB">
        <w:rPr>
          <w:rFonts w:ascii="Times New Roman" w:hAnsi="Times New Roman"/>
          <w:sz w:val="24"/>
          <w:szCs w:val="24"/>
        </w:rPr>
        <w:t>ařízení Evropského parlamentu a</w:t>
      </w:r>
      <w:r w:rsidR="00D95DDA">
        <w:rPr>
          <w:rFonts w:ascii="Times New Roman" w:hAnsi="Times New Roman"/>
          <w:sz w:val="24"/>
          <w:szCs w:val="24"/>
        </w:rPr>
        <w:t> </w:t>
      </w:r>
      <w:r w:rsidR="00A570EB" w:rsidRPr="00A570EB">
        <w:rPr>
          <w:rFonts w:ascii="Times New Roman" w:hAnsi="Times New Roman"/>
          <w:sz w:val="24"/>
          <w:szCs w:val="24"/>
        </w:rPr>
        <w:t>Rady (EU) 2024/1183 ze dne 11. dubna 2024, kterým se mění nařízení (EU) č.</w:t>
      </w:r>
      <w:r w:rsidR="003B5CE0">
        <w:rPr>
          <w:rFonts w:ascii="Times New Roman" w:hAnsi="Times New Roman"/>
          <w:sz w:val="24"/>
          <w:szCs w:val="24"/>
        </w:rPr>
        <w:t> </w:t>
      </w:r>
      <w:r w:rsidR="00A570EB" w:rsidRPr="00A570EB">
        <w:rPr>
          <w:rFonts w:ascii="Times New Roman" w:hAnsi="Times New Roman"/>
          <w:sz w:val="24"/>
          <w:szCs w:val="24"/>
        </w:rPr>
        <w:t>910/2014, pokud jde o</w:t>
      </w:r>
      <w:r w:rsidR="00172F4F">
        <w:rPr>
          <w:rFonts w:ascii="Times New Roman" w:hAnsi="Times New Roman"/>
          <w:sz w:val="24"/>
          <w:szCs w:val="24"/>
        </w:rPr>
        <w:t> </w:t>
      </w:r>
      <w:r w:rsidR="00A570EB" w:rsidRPr="00A570EB">
        <w:rPr>
          <w:rFonts w:ascii="Times New Roman" w:hAnsi="Times New Roman"/>
          <w:sz w:val="24"/>
          <w:szCs w:val="24"/>
        </w:rPr>
        <w:t>zřízení evropského rámce pro digitální identitu</w:t>
      </w:r>
      <w:bookmarkEnd w:id="0"/>
      <w:r w:rsidR="00FF5A55">
        <w:rPr>
          <w:rFonts w:ascii="Times New Roman" w:hAnsi="Times New Roman"/>
          <w:sz w:val="24"/>
          <w:szCs w:val="24"/>
        </w:rPr>
        <w:t xml:space="preserve"> (dále jen „nařízení </w:t>
      </w:r>
      <w:proofErr w:type="spellStart"/>
      <w:r w:rsidR="00FF5A55">
        <w:rPr>
          <w:rFonts w:ascii="Times New Roman" w:hAnsi="Times New Roman"/>
          <w:sz w:val="24"/>
          <w:szCs w:val="24"/>
        </w:rPr>
        <w:t>eIDAS</w:t>
      </w:r>
      <w:proofErr w:type="spellEnd"/>
      <w:r w:rsidR="00A570EB">
        <w:rPr>
          <w:rFonts w:ascii="Times New Roman" w:hAnsi="Times New Roman"/>
          <w:sz w:val="24"/>
          <w:szCs w:val="24"/>
        </w:rPr>
        <w:t xml:space="preserve"> 2</w:t>
      </w:r>
      <w:r w:rsidR="00FF5A55">
        <w:rPr>
          <w:rFonts w:ascii="Times New Roman" w:hAnsi="Times New Roman"/>
          <w:sz w:val="24"/>
          <w:szCs w:val="24"/>
        </w:rPr>
        <w:t>“)</w:t>
      </w:r>
      <w:r w:rsidR="000E73B5">
        <w:rPr>
          <w:rFonts w:ascii="Times New Roman" w:hAnsi="Times New Roman"/>
          <w:sz w:val="24"/>
          <w:szCs w:val="24"/>
        </w:rPr>
        <w:t>, kter</w:t>
      </w:r>
      <w:r w:rsidR="00A570EB">
        <w:rPr>
          <w:rFonts w:ascii="Times New Roman" w:hAnsi="Times New Roman"/>
          <w:sz w:val="24"/>
          <w:szCs w:val="24"/>
        </w:rPr>
        <w:t>é</w:t>
      </w:r>
      <w:r w:rsidR="000E73B5">
        <w:rPr>
          <w:rFonts w:ascii="Times New Roman" w:hAnsi="Times New Roman"/>
          <w:sz w:val="24"/>
          <w:szCs w:val="24"/>
        </w:rPr>
        <w:t xml:space="preserve"> upravuje </w:t>
      </w:r>
      <w:r w:rsidR="00A570EB">
        <w:rPr>
          <w:rFonts w:ascii="Times New Roman" w:hAnsi="Times New Roman"/>
          <w:sz w:val="24"/>
          <w:szCs w:val="24"/>
        </w:rPr>
        <w:t xml:space="preserve">zejm. evropskou peněženku digitální identity v rámci systému </w:t>
      </w:r>
      <w:r w:rsidR="000E73B5">
        <w:rPr>
          <w:rFonts w:ascii="Times New Roman" w:hAnsi="Times New Roman"/>
          <w:sz w:val="24"/>
          <w:szCs w:val="24"/>
        </w:rPr>
        <w:t>elektronick</w:t>
      </w:r>
      <w:r w:rsidR="00A570EB">
        <w:rPr>
          <w:rFonts w:ascii="Times New Roman" w:hAnsi="Times New Roman"/>
          <w:sz w:val="24"/>
          <w:szCs w:val="24"/>
        </w:rPr>
        <w:t>é</w:t>
      </w:r>
      <w:r w:rsidR="000E73B5">
        <w:rPr>
          <w:rFonts w:ascii="Times New Roman" w:hAnsi="Times New Roman"/>
          <w:sz w:val="24"/>
          <w:szCs w:val="24"/>
        </w:rPr>
        <w:t xml:space="preserve"> identifikac</w:t>
      </w:r>
      <w:r w:rsidR="00A570EB">
        <w:rPr>
          <w:rFonts w:ascii="Times New Roman" w:hAnsi="Times New Roman"/>
          <w:sz w:val="24"/>
          <w:szCs w:val="24"/>
        </w:rPr>
        <w:t>e</w:t>
      </w:r>
      <w:r w:rsidR="008F5B78" w:rsidRPr="009018ED">
        <w:rPr>
          <w:rFonts w:ascii="Times New Roman" w:hAnsi="Times New Roman"/>
          <w:sz w:val="24"/>
          <w:szCs w:val="24"/>
        </w:rPr>
        <w:t xml:space="preserve">. </w:t>
      </w:r>
    </w:p>
    <w:p w14:paraId="0D23AC7B" w14:textId="77777777" w:rsidR="00A570EB" w:rsidRDefault="00A570EB" w:rsidP="00E557E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C9C9744" w14:textId="77777777" w:rsidR="00A570EB" w:rsidRDefault="00A570EB" w:rsidP="00A570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Nařízení </w:t>
      </w:r>
      <w:proofErr w:type="spellStart"/>
      <w:r>
        <w:rPr>
          <w:rFonts w:ascii="Times New Roman" w:hAnsi="Times New Roman"/>
          <w:sz w:val="24"/>
          <w:szCs w:val="24"/>
        </w:rPr>
        <w:t>eIDAS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 w:rsidRPr="00A570EB">
        <w:rPr>
          <w:rFonts w:ascii="Times New Roman" w:hAnsi="Times New Roman"/>
          <w:sz w:val="24"/>
          <w:szCs w:val="24"/>
        </w:rPr>
        <w:t xml:space="preserve"> rozšířil</w:t>
      </w:r>
      <w:r>
        <w:rPr>
          <w:rFonts w:ascii="Times New Roman" w:hAnsi="Times New Roman"/>
          <w:sz w:val="24"/>
          <w:szCs w:val="24"/>
        </w:rPr>
        <w:t>o</w:t>
      </w:r>
      <w:r w:rsidRPr="00A570EB">
        <w:rPr>
          <w:rFonts w:ascii="Times New Roman" w:hAnsi="Times New Roman"/>
          <w:sz w:val="24"/>
          <w:szCs w:val="24"/>
        </w:rPr>
        <w:t xml:space="preserve"> působnost regulace o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evropské peněženky digitální identity,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přeshraniční párování totožnosti,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nové povinnosti v rámci certifikace systémů elektronické identifikace,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elektronické potvrzování atributů,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služby elektronické archivace,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elektronické knihy záznamů,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nové povinnosti pro orgán dohledu,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EB">
        <w:rPr>
          <w:rFonts w:ascii="Times New Roman" w:hAnsi="Times New Roman"/>
          <w:sz w:val="24"/>
          <w:szCs w:val="24"/>
        </w:rPr>
        <w:t>nové sankce a další.</w:t>
      </w:r>
    </w:p>
    <w:p w14:paraId="0E63E878" w14:textId="77777777" w:rsidR="00A570EB" w:rsidRDefault="00A570EB" w:rsidP="00E557E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9D9F220" w14:textId="623195FB" w:rsidR="00A570EB" w:rsidRDefault="00A570EB" w:rsidP="00E557E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70EB">
        <w:rPr>
          <w:rFonts w:ascii="Times New Roman" w:hAnsi="Times New Roman"/>
          <w:sz w:val="24"/>
          <w:szCs w:val="24"/>
        </w:rPr>
        <w:t xml:space="preserve">Návrh zákona upravuje, resp. reflektuje evropské peněženky digitální identity a jejich povinnou certifikaci, akreditaci poskytovatelů evropských peněženek digitální identity, nové typy služeb vytvářejících důvěru včetně elektronického potvrzování atributů, zakotvení orgánu dohledu nad rámcem pro evropskou peněženku digitální identity </w:t>
      </w:r>
      <w:r>
        <w:rPr>
          <w:rFonts w:ascii="Times New Roman" w:hAnsi="Times New Roman"/>
          <w:sz w:val="24"/>
          <w:szCs w:val="24"/>
        </w:rPr>
        <w:t>a</w:t>
      </w:r>
      <w:r w:rsidRPr="00A570EB">
        <w:rPr>
          <w:rFonts w:ascii="Times New Roman" w:hAnsi="Times New Roman"/>
          <w:sz w:val="24"/>
          <w:szCs w:val="24"/>
        </w:rPr>
        <w:t xml:space="preserve"> nové povinnosti pro orgán dohledu nad službami vytvářejícími důvěru, kterým je Digitální a informační agentura</w:t>
      </w:r>
      <w:r w:rsidR="0027092E">
        <w:rPr>
          <w:rFonts w:ascii="Times New Roman" w:hAnsi="Times New Roman"/>
          <w:sz w:val="24"/>
          <w:szCs w:val="24"/>
        </w:rPr>
        <w:t>,</w:t>
      </w:r>
      <w:r w:rsidRPr="00A570EB">
        <w:rPr>
          <w:rFonts w:ascii="Times New Roman" w:hAnsi="Times New Roman"/>
          <w:sz w:val="24"/>
          <w:szCs w:val="24"/>
        </w:rPr>
        <w:t xml:space="preserve"> nové sankce a další.</w:t>
      </w:r>
    </w:p>
    <w:p w14:paraId="292A87C0" w14:textId="77777777" w:rsidR="003331A0" w:rsidRDefault="003331A0" w:rsidP="00A57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A68739" w14:textId="0EC96580" w:rsidR="00A248BB" w:rsidRDefault="00A570EB" w:rsidP="00A570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70EB">
        <w:rPr>
          <w:rFonts w:ascii="Times New Roman" w:hAnsi="Times New Roman"/>
          <w:sz w:val="24"/>
          <w:szCs w:val="24"/>
        </w:rPr>
        <w:t xml:space="preserve">Navrhovaná právní úprava je výsledkem revize platného právního stavu z důvodu změny pro tuto oblast klíčového nařízení </w:t>
      </w:r>
      <w:proofErr w:type="spellStart"/>
      <w:r w:rsidRPr="00A570EB">
        <w:rPr>
          <w:rFonts w:ascii="Times New Roman" w:hAnsi="Times New Roman"/>
          <w:sz w:val="24"/>
          <w:szCs w:val="24"/>
        </w:rPr>
        <w:t>eIDAS</w:t>
      </w:r>
      <w:proofErr w:type="spellEnd"/>
      <w:r w:rsidRPr="00A570EB">
        <w:rPr>
          <w:rFonts w:ascii="Times New Roman" w:hAnsi="Times New Roman"/>
          <w:sz w:val="24"/>
          <w:szCs w:val="24"/>
        </w:rPr>
        <w:t>. Návrh představuje řešení jednotlivých problémů identifikovaných předkladatelem na základě vyhodnocení současné aplikační praxe. Pokud by navrhovaná právní úprava nebyla přijata, tyto problémy by v praxi přetrvávaly</w:t>
      </w:r>
      <w:r w:rsidR="00AE0726">
        <w:rPr>
          <w:rFonts w:ascii="Times New Roman" w:hAnsi="Times New Roman"/>
          <w:sz w:val="24"/>
          <w:szCs w:val="24"/>
        </w:rPr>
        <w:t xml:space="preserve"> a se zaváděním evropské peněženky digitální identity by rychle vznikaly další</w:t>
      </w:r>
      <w:r w:rsidRPr="00A570EB">
        <w:rPr>
          <w:rFonts w:ascii="Times New Roman" w:hAnsi="Times New Roman"/>
          <w:sz w:val="24"/>
          <w:szCs w:val="24"/>
        </w:rPr>
        <w:t>.</w:t>
      </w:r>
    </w:p>
    <w:p w14:paraId="129E7192" w14:textId="77777777" w:rsidR="00A570EB" w:rsidRDefault="00A570EB" w:rsidP="00A570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77BC0A" w14:textId="0FFEDE1F" w:rsidR="00A570EB" w:rsidRDefault="00025143" w:rsidP="00A570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5143">
        <w:rPr>
          <w:rFonts w:ascii="Times New Roman" w:hAnsi="Times New Roman"/>
          <w:sz w:val="24"/>
          <w:szCs w:val="24"/>
        </w:rPr>
        <w:t>Předpokládají se finanční dopady na úpravy informačních systémů na straně státu z</w:t>
      </w:r>
      <w:r>
        <w:rPr>
          <w:rFonts w:ascii="Times New Roman" w:hAnsi="Times New Roman"/>
          <w:sz w:val="24"/>
          <w:szCs w:val="24"/>
        </w:rPr>
        <w:t> </w:t>
      </w:r>
      <w:r w:rsidRPr="00025143">
        <w:rPr>
          <w:rFonts w:ascii="Times New Roman" w:hAnsi="Times New Roman"/>
          <w:sz w:val="24"/>
          <w:szCs w:val="24"/>
        </w:rPr>
        <w:t xml:space="preserve">důvodu správy a provozu státní části evropské peněženky digitální identity, nicméně tato předkládaná adaptační novela sama o sobě žádné finanční dopady nepředpokládá. Ty jsou spojeny s povinností členského státu poskytnout alespoň jednu evropskou peněženku digitální identity, která je stanovena přímo v čl. </w:t>
      </w:r>
      <w:proofErr w:type="gramStart"/>
      <w:r w:rsidRPr="00025143">
        <w:rPr>
          <w:rFonts w:ascii="Times New Roman" w:hAnsi="Times New Roman"/>
          <w:sz w:val="24"/>
          <w:szCs w:val="24"/>
        </w:rPr>
        <w:t>5a</w:t>
      </w:r>
      <w:proofErr w:type="gramEnd"/>
      <w:r w:rsidRPr="00025143">
        <w:rPr>
          <w:rFonts w:ascii="Times New Roman" w:hAnsi="Times New Roman"/>
          <w:sz w:val="24"/>
          <w:szCs w:val="24"/>
        </w:rPr>
        <w:t xml:space="preserve"> odst. 1 nařízení </w:t>
      </w:r>
      <w:proofErr w:type="spellStart"/>
      <w:r w:rsidRPr="00025143">
        <w:rPr>
          <w:rFonts w:ascii="Times New Roman" w:hAnsi="Times New Roman"/>
          <w:sz w:val="24"/>
          <w:szCs w:val="24"/>
        </w:rPr>
        <w:t>eIDAS</w:t>
      </w:r>
      <w:proofErr w:type="spellEnd"/>
      <w:r w:rsidRPr="00025143">
        <w:rPr>
          <w:rFonts w:ascii="Times New Roman" w:hAnsi="Times New Roman"/>
          <w:sz w:val="24"/>
          <w:szCs w:val="24"/>
        </w:rPr>
        <w:t xml:space="preserve"> 2. </w:t>
      </w:r>
      <w:r w:rsidR="00634940">
        <w:rPr>
          <w:rFonts w:ascii="Times New Roman" w:hAnsi="Times New Roman"/>
          <w:sz w:val="24"/>
          <w:szCs w:val="24"/>
        </w:rPr>
        <w:t>Konkrétní f</w:t>
      </w:r>
      <w:r w:rsidR="00A570EB" w:rsidRPr="00A570EB">
        <w:rPr>
          <w:rFonts w:ascii="Times New Roman" w:hAnsi="Times New Roman"/>
          <w:sz w:val="24"/>
          <w:szCs w:val="24"/>
        </w:rPr>
        <w:t>inanční nároky na státní rozpočet</w:t>
      </w:r>
      <w:r>
        <w:rPr>
          <w:rFonts w:ascii="Times New Roman" w:hAnsi="Times New Roman"/>
          <w:sz w:val="24"/>
          <w:szCs w:val="24"/>
        </w:rPr>
        <w:t xml:space="preserve"> jsou uvedeny v důvodové zprávě. </w:t>
      </w:r>
    </w:p>
    <w:p w14:paraId="0375A8D9" w14:textId="77777777" w:rsidR="00A570EB" w:rsidRDefault="00A570EB" w:rsidP="00A570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3DB3ECF" w14:textId="77777777" w:rsidR="00351AD9" w:rsidRDefault="00351AD9" w:rsidP="00A248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18ED">
        <w:rPr>
          <w:rFonts w:ascii="Times New Roman" w:hAnsi="Times New Roman"/>
          <w:sz w:val="24"/>
          <w:szCs w:val="24"/>
        </w:rPr>
        <w:t xml:space="preserve">Návrh zákona byl zaslán do mezirezortního připomínkového řízení podle čl. 16 legislativních pravidel vlády. Toto připomínkové řízení proběhlo od </w:t>
      </w:r>
      <w:r w:rsidR="00306546">
        <w:rPr>
          <w:rFonts w:ascii="Times New Roman" w:hAnsi="Times New Roman"/>
          <w:sz w:val="24"/>
          <w:szCs w:val="24"/>
        </w:rPr>
        <w:t xml:space="preserve">… </w:t>
      </w:r>
      <w:r w:rsidRPr="009018ED">
        <w:rPr>
          <w:rFonts w:ascii="Times New Roman" w:hAnsi="Times New Roman"/>
          <w:sz w:val="24"/>
          <w:szCs w:val="24"/>
        </w:rPr>
        <w:t xml:space="preserve">do </w:t>
      </w:r>
      <w:r w:rsidR="00306546">
        <w:rPr>
          <w:rFonts w:ascii="Times New Roman" w:hAnsi="Times New Roman"/>
          <w:sz w:val="24"/>
          <w:szCs w:val="24"/>
        </w:rPr>
        <w:t>…</w:t>
      </w:r>
      <w:r w:rsidRPr="009018ED">
        <w:rPr>
          <w:rFonts w:ascii="Times New Roman" w:hAnsi="Times New Roman"/>
          <w:sz w:val="24"/>
          <w:szCs w:val="24"/>
        </w:rPr>
        <w:t xml:space="preserve">. Vyhodnocení mezirezortního připomínkového řízení je uvedeno v části </w:t>
      </w:r>
      <w:r w:rsidR="003237B5">
        <w:rPr>
          <w:rFonts w:ascii="Times New Roman" w:hAnsi="Times New Roman"/>
          <w:sz w:val="24"/>
          <w:szCs w:val="24"/>
        </w:rPr>
        <w:t>VIII</w:t>
      </w:r>
      <w:r w:rsidRPr="009018ED">
        <w:rPr>
          <w:rFonts w:ascii="Times New Roman" w:hAnsi="Times New Roman"/>
          <w:sz w:val="24"/>
          <w:szCs w:val="24"/>
        </w:rPr>
        <w:t>. předloženého materiálu.</w:t>
      </w:r>
    </w:p>
    <w:p w14:paraId="1D056AF6" w14:textId="77777777" w:rsidR="00BB05C7" w:rsidRDefault="00BB05C7" w:rsidP="00A248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6D9F117" w14:textId="5DE1B1D5" w:rsidR="00351AD9" w:rsidRPr="00AE0726" w:rsidRDefault="00BB05C7" w:rsidP="00AE07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Výjimka </w:t>
      </w:r>
      <w:r w:rsidR="00F25885" w:rsidRPr="00F25885">
        <w:rPr>
          <w:rFonts w:ascii="Times New Roman" w:hAnsi="Times New Roman"/>
          <w:sz w:val="24"/>
          <w:szCs w:val="24"/>
        </w:rPr>
        <w:t>z</w:t>
      </w:r>
      <w:r w:rsidR="00F25885">
        <w:rPr>
          <w:rFonts w:ascii="Times New Roman" w:hAnsi="Times New Roman"/>
          <w:sz w:val="24"/>
          <w:szCs w:val="24"/>
        </w:rPr>
        <w:t xml:space="preserve"> povinnosti zpracovat </w:t>
      </w:r>
      <w:r w:rsidR="00F25885" w:rsidRPr="00F25885">
        <w:rPr>
          <w:rFonts w:ascii="Times New Roman" w:hAnsi="Times New Roman"/>
          <w:sz w:val="24"/>
          <w:szCs w:val="24"/>
        </w:rPr>
        <w:t>hodnocení dopadů regulace (RIA)</w:t>
      </w:r>
      <w:r>
        <w:rPr>
          <w:rFonts w:ascii="Times New Roman" w:hAnsi="Times New Roman"/>
          <w:sz w:val="24"/>
          <w:szCs w:val="24"/>
        </w:rPr>
        <w:t xml:space="preserve"> byla udělena</w:t>
      </w:r>
      <w:r w:rsidR="00AC32E7">
        <w:rPr>
          <w:rFonts w:ascii="Times New Roman" w:hAnsi="Times New Roman"/>
          <w:sz w:val="24"/>
          <w:szCs w:val="24"/>
        </w:rPr>
        <w:t xml:space="preserve"> v rámci Plánu legislativních prací vlády na rok 2025.</w:t>
      </w:r>
    </w:p>
    <w:sectPr w:rsidR="00351AD9" w:rsidRPr="00AE072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D1B9D" w14:textId="77777777" w:rsidR="00BD519B" w:rsidRDefault="00BD519B" w:rsidP="000143FE">
      <w:pPr>
        <w:spacing w:after="0" w:line="240" w:lineRule="auto"/>
      </w:pPr>
      <w:r>
        <w:separator/>
      </w:r>
    </w:p>
  </w:endnote>
  <w:endnote w:type="continuationSeparator" w:id="0">
    <w:p w14:paraId="22C2489A" w14:textId="77777777" w:rsidR="00BD519B" w:rsidRDefault="00BD519B" w:rsidP="0001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4D0C6" w14:textId="77777777" w:rsidR="00351AD9" w:rsidRPr="00351AD9" w:rsidRDefault="00351AD9">
    <w:pPr>
      <w:pStyle w:val="Zpat"/>
      <w:jc w:val="center"/>
      <w:rPr>
        <w:rFonts w:ascii="Times New Roman" w:hAnsi="Times New Roman"/>
        <w:sz w:val="24"/>
        <w:szCs w:val="24"/>
      </w:rPr>
    </w:pPr>
    <w:r w:rsidRPr="00351AD9">
      <w:rPr>
        <w:rFonts w:ascii="Times New Roman" w:hAnsi="Times New Roman"/>
        <w:sz w:val="24"/>
        <w:szCs w:val="24"/>
      </w:rPr>
      <w:fldChar w:fldCharType="begin"/>
    </w:r>
    <w:r w:rsidRPr="00351AD9">
      <w:rPr>
        <w:rFonts w:ascii="Times New Roman" w:hAnsi="Times New Roman"/>
        <w:sz w:val="24"/>
        <w:szCs w:val="24"/>
      </w:rPr>
      <w:instrText>PAGE   \* MERGEFORMAT</w:instrText>
    </w:r>
    <w:r w:rsidRPr="00351AD9">
      <w:rPr>
        <w:rFonts w:ascii="Times New Roman" w:hAnsi="Times New Roman"/>
        <w:sz w:val="24"/>
        <w:szCs w:val="24"/>
      </w:rPr>
      <w:fldChar w:fldCharType="separate"/>
    </w:r>
    <w:r w:rsidR="00EA2771">
      <w:rPr>
        <w:rFonts w:ascii="Times New Roman" w:hAnsi="Times New Roman"/>
        <w:noProof/>
        <w:sz w:val="24"/>
        <w:szCs w:val="24"/>
      </w:rPr>
      <w:t>1</w:t>
    </w:r>
    <w:r w:rsidRPr="00351AD9">
      <w:rPr>
        <w:rFonts w:ascii="Times New Roman" w:hAnsi="Times New Roman"/>
        <w:sz w:val="24"/>
        <w:szCs w:val="24"/>
      </w:rPr>
      <w:fldChar w:fldCharType="end"/>
    </w:r>
  </w:p>
  <w:p w14:paraId="511A44AC" w14:textId="77777777" w:rsidR="00351AD9" w:rsidRDefault="00351AD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20301" w14:textId="77777777" w:rsidR="00BD519B" w:rsidRDefault="00BD519B" w:rsidP="000143FE">
      <w:pPr>
        <w:spacing w:after="0" w:line="240" w:lineRule="auto"/>
      </w:pPr>
      <w:r>
        <w:separator/>
      </w:r>
    </w:p>
  </w:footnote>
  <w:footnote w:type="continuationSeparator" w:id="0">
    <w:p w14:paraId="119CDC7F" w14:textId="77777777" w:rsidR="00BD519B" w:rsidRDefault="00BD519B" w:rsidP="00014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846A1"/>
    <w:multiLevelType w:val="hybridMultilevel"/>
    <w:tmpl w:val="8FA65102"/>
    <w:lvl w:ilvl="0" w:tplc="344A51B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52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3FE"/>
    <w:rsid w:val="000143FE"/>
    <w:rsid w:val="00022906"/>
    <w:rsid w:val="00025143"/>
    <w:rsid w:val="000323D9"/>
    <w:rsid w:val="00060B53"/>
    <w:rsid w:val="00094B4B"/>
    <w:rsid w:val="000C15BB"/>
    <w:rsid w:val="000E73B5"/>
    <w:rsid w:val="000F1D68"/>
    <w:rsid w:val="000F4404"/>
    <w:rsid w:val="00172F4F"/>
    <w:rsid w:val="0017631B"/>
    <w:rsid w:val="00190BC3"/>
    <w:rsid w:val="001A54FC"/>
    <w:rsid w:val="001D5F4F"/>
    <w:rsid w:val="001F0EA7"/>
    <w:rsid w:val="00221BDE"/>
    <w:rsid w:val="00241F7A"/>
    <w:rsid w:val="00262EF5"/>
    <w:rsid w:val="0027092E"/>
    <w:rsid w:val="00287B07"/>
    <w:rsid w:val="002E78A0"/>
    <w:rsid w:val="00306546"/>
    <w:rsid w:val="00321B17"/>
    <w:rsid w:val="00321C01"/>
    <w:rsid w:val="003237B5"/>
    <w:rsid w:val="003331A0"/>
    <w:rsid w:val="0034537A"/>
    <w:rsid w:val="00351AD9"/>
    <w:rsid w:val="003679C7"/>
    <w:rsid w:val="00385387"/>
    <w:rsid w:val="003B5CE0"/>
    <w:rsid w:val="003B7D3B"/>
    <w:rsid w:val="00431631"/>
    <w:rsid w:val="0044269B"/>
    <w:rsid w:val="00487849"/>
    <w:rsid w:val="004A3930"/>
    <w:rsid w:val="0052311C"/>
    <w:rsid w:val="00527ABB"/>
    <w:rsid w:val="0055053D"/>
    <w:rsid w:val="00563951"/>
    <w:rsid w:val="005B69BC"/>
    <w:rsid w:val="005D3581"/>
    <w:rsid w:val="005D3EF4"/>
    <w:rsid w:val="00610CCB"/>
    <w:rsid w:val="0063148E"/>
    <w:rsid w:val="006339A1"/>
    <w:rsid w:val="00634940"/>
    <w:rsid w:val="0064204F"/>
    <w:rsid w:val="00661618"/>
    <w:rsid w:val="00680F33"/>
    <w:rsid w:val="006839AF"/>
    <w:rsid w:val="006D2144"/>
    <w:rsid w:val="00722C7C"/>
    <w:rsid w:val="007B2EFE"/>
    <w:rsid w:val="007B36FC"/>
    <w:rsid w:val="007D4988"/>
    <w:rsid w:val="007F04FA"/>
    <w:rsid w:val="008053C7"/>
    <w:rsid w:val="00811D56"/>
    <w:rsid w:val="00844C3C"/>
    <w:rsid w:val="00862765"/>
    <w:rsid w:val="00862E78"/>
    <w:rsid w:val="008C2B3A"/>
    <w:rsid w:val="008F5B78"/>
    <w:rsid w:val="009018ED"/>
    <w:rsid w:val="00967981"/>
    <w:rsid w:val="00972520"/>
    <w:rsid w:val="00987F40"/>
    <w:rsid w:val="00996A4F"/>
    <w:rsid w:val="009C5538"/>
    <w:rsid w:val="00A248BB"/>
    <w:rsid w:val="00A37B17"/>
    <w:rsid w:val="00A570EB"/>
    <w:rsid w:val="00A71A27"/>
    <w:rsid w:val="00AB5E29"/>
    <w:rsid w:val="00AC32E7"/>
    <w:rsid w:val="00AE0726"/>
    <w:rsid w:val="00B06B1D"/>
    <w:rsid w:val="00B34C2F"/>
    <w:rsid w:val="00B65561"/>
    <w:rsid w:val="00BA7B7C"/>
    <w:rsid w:val="00BB05C7"/>
    <w:rsid w:val="00BB0B44"/>
    <w:rsid w:val="00BD519B"/>
    <w:rsid w:val="00BE4D79"/>
    <w:rsid w:val="00C00C20"/>
    <w:rsid w:val="00C518DB"/>
    <w:rsid w:val="00C87B88"/>
    <w:rsid w:val="00CA5124"/>
    <w:rsid w:val="00D32168"/>
    <w:rsid w:val="00D40986"/>
    <w:rsid w:val="00D54F4E"/>
    <w:rsid w:val="00D7725A"/>
    <w:rsid w:val="00D95DDA"/>
    <w:rsid w:val="00DB4533"/>
    <w:rsid w:val="00E11351"/>
    <w:rsid w:val="00E236A3"/>
    <w:rsid w:val="00E557E8"/>
    <w:rsid w:val="00EA2771"/>
    <w:rsid w:val="00EB0207"/>
    <w:rsid w:val="00F22D12"/>
    <w:rsid w:val="00F25885"/>
    <w:rsid w:val="00FA79F2"/>
    <w:rsid w:val="00FE679C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4CBA"/>
  <w15:chartTrackingRefBased/>
  <w15:docId w15:val="{7742F5D6-FCC4-4E03-9A66-32562935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14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43FE"/>
  </w:style>
  <w:style w:type="paragraph" w:styleId="Zpat">
    <w:name w:val="footer"/>
    <w:basedOn w:val="Normln"/>
    <w:link w:val="ZpatChar"/>
    <w:uiPriority w:val="99"/>
    <w:unhideWhenUsed/>
    <w:rsid w:val="00014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43FE"/>
  </w:style>
  <w:style w:type="paragraph" w:styleId="Textbubliny">
    <w:name w:val="Balloon Text"/>
    <w:basedOn w:val="Normln"/>
    <w:link w:val="TextbublinyChar"/>
    <w:uiPriority w:val="99"/>
    <w:semiHidden/>
    <w:unhideWhenUsed/>
    <w:rsid w:val="00811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11D5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cp:lastModifiedBy>Kuchař Petr</cp:lastModifiedBy>
  <cp:revision>6</cp:revision>
  <dcterms:created xsi:type="dcterms:W3CDTF">2025-06-25T16:12:00Z</dcterms:created>
  <dcterms:modified xsi:type="dcterms:W3CDTF">2025-06-30T08:14:00Z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2025-06-25T16:13:04Z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875ab989-d86f-4911-8b1a-466bd476e922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