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D32EC1" w14:textId="77777777" w:rsidR="00676919" w:rsidRPr="00737E4D" w:rsidRDefault="00676919" w:rsidP="00737E4D">
      <w:pPr>
        <w:spacing w:before="240" w:after="480"/>
        <w:jc w:val="center"/>
        <w:rPr>
          <w:b/>
          <w:szCs w:val="22"/>
        </w:rPr>
      </w:pPr>
      <w:bookmarkStart w:id="0" w:name="_GoBack"/>
      <w:bookmarkEnd w:id="0"/>
      <w:r w:rsidRPr="00737E4D">
        <w:rPr>
          <w:b/>
          <w:szCs w:val="22"/>
        </w:rPr>
        <w:t>PŘEDKLÁDACÍ ZPRÁVA</w:t>
      </w:r>
    </w:p>
    <w:p w14:paraId="13B597C1" w14:textId="4B4815CD" w:rsidR="00325401" w:rsidRDefault="00343AE7" w:rsidP="00325401">
      <w:pPr>
        <w:spacing w:after="120"/>
        <w:jc w:val="both"/>
        <w:rPr>
          <w:bCs/>
          <w:szCs w:val="22"/>
        </w:rPr>
      </w:pPr>
      <w:r w:rsidRPr="00C60A75">
        <w:rPr>
          <w:bCs/>
          <w:szCs w:val="22"/>
        </w:rPr>
        <w:t>Ministerstv</w:t>
      </w:r>
      <w:r>
        <w:rPr>
          <w:bCs/>
          <w:szCs w:val="22"/>
        </w:rPr>
        <w:t>o</w:t>
      </w:r>
      <w:r w:rsidRPr="00C60A75">
        <w:rPr>
          <w:bCs/>
          <w:szCs w:val="22"/>
        </w:rPr>
        <w:t xml:space="preserve"> financí předkládá </w:t>
      </w:r>
      <w:r w:rsidR="00C60A75" w:rsidRPr="00C60A75">
        <w:rPr>
          <w:bCs/>
          <w:szCs w:val="22"/>
        </w:rPr>
        <w:t>materiál</w:t>
      </w:r>
      <w:r w:rsidR="00676919" w:rsidRPr="00737E4D">
        <w:rPr>
          <w:bCs/>
          <w:szCs w:val="22"/>
        </w:rPr>
        <w:t xml:space="preserve"> </w:t>
      </w:r>
      <w:r w:rsidR="00676919" w:rsidRPr="00737E4D">
        <w:rPr>
          <w:bCs/>
          <w:i/>
          <w:szCs w:val="22"/>
        </w:rPr>
        <w:t>„</w:t>
      </w:r>
      <w:r w:rsidR="00751C72" w:rsidRPr="003068DA">
        <w:rPr>
          <w:b/>
          <w:bCs/>
          <w:i/>
          <w:szCs w:val="22"/>
        </w:rPr>
        <w:t xml:space="preserve">Návrh zákona, </w:t>
      </w:r>
      <w:r w:rsidR="004B4119" w:rsidRPr="003068DA">
        <w:rPr>
          <w:b/>
          <w:bCs/>
          <w:i/>
          <w:szCs w:val="22"/>
        </w:rPr>
        <w:t xml:space="preserve">kterým se mění zákon </w:t>
      </w:r>
      <w:r w:rsidR="004273E2" w:rsidRPr="003068DA">
        <w:rPr>
          <w:b/>
          <w:bCs/>
          <w:i/>
          <w:szCs w:val="22"/>
        </w:rPr>
        <w:t>č. </w:t>
      </w:r>
      <w:r w:rsidR="00332B84" w:rsidRPr="003068DA">
        <w:rPr>
          <w:b/>
          <w:bCs/>
          <w:i/>
          <w:szCs w:val="22"/>
        </w:rPr>
        <w:t>235/2004</w:t>
      </w:r>
      <w:r w:rsidR="00037871">
        <w:rPr>
          <w:b/>
          <w:bCs/>
          <w:i/>
          <w:szCs w:val="22"/>
        </w:rPr>
        <w:t> </w:t>
      </w:r>
      <w:r w:rsidR="00332B84" w:rsidRPr="003068DA">
        <w:rPr>
          <w:b/>
          <w:bCs/>
          <w:i/>
          <w:szCs w:val="22"/>
        </w:rPr>
        <w:t xml:space="preserve">Sb., </w:t>
      </w:r>
      <w:r w:rsidR="007D63AD" w:rsidRPr="003068DA">
        <w:rPr>
          <w:b/>
          <w:bCs/>
          <w:i/>
          <w:szCs w:val="22"/>
        </w:rPr>
        <w:t>o</w:t>
      </w:r>
      <w:r w:rsidR="007D63AD">
        <w:rPr>
          <w:b/>
          <w:bCs/>
          <w:i/>
          <w:szCs w:val="22"/>
        </w:rPr>
        <w:t> </w:t>
      </w:r>
      <w:r w:rsidR="00332B84" w:rsidRPr="003068DA">
        <w:rPr>
          <w:b/>
          <w:bCs/>
          <w:i/>
          <w:szCs w:val="22"/>
        </w:rPr>
        <w:t xml:space="preserve">dani </w:t>
      </w:r>
      <w:r w:rsidR="007D63AD" w:rsidRPr="003068DA">
        <w:rPr>
          <w:b/>
          <w:bCs/>
          <w:i/>
          <w:szCs w:val="22"/>
        </w:rPr>
        <w:t>z</w:t>
      </w:r>
      <w:r w:rsidR="007D63AD">
        <w:rPr>
          <w:b/>
          <w:bCs/>
          <w:i/>
          <w:szCs w:val="22"/>
        </w:rPr>
        <w:t> </w:t>
      </w:r>
      <w:r w:rsidR="00332B84" w:rsidRPr="003068DA">
        <w:rPr>
          <w:b/>
          <w:bCs/>
          <w:i/>
          <w:szCs w:val="22"/>
        </w:rPr>
        <w:t>přidané hodnoty, ve znění pozdějších předpisů</w:t>
      </w:r>
      <w:r w:rsidR="00904CD1" w:rsidRPr="00737E4D">
        <w:rPr>
          <w:bCs/>
          <w:i/>
          <w:szCs w:val="22"/>
        </w:rPr>
        <w:t>“</w:t>
      </w:r>
      <w:r w:rsidR="00325401">
        <w:rPr>
          <w:bCs/>
          <w:i/>
          <w:szCs w:val="22"/>
        </w:rPr>
        <w:t xml:space="preserve"> </w:t>
      </w:r>
      <w:r w:rsidR="00325401" w:rsidRPr="00325401">
        <w:rPr>
          <w:bCs/>
          <w:szCs w:val="22"/>
        </w:rPr>
        <w:t>(dále jen „návrh zákona“).</w:t>
      </w:r>
    </w:p>
    <w:p w14:paraId="1D80BE41" w14:textId="48D647A4" w:rsidR="00CC5346" w:rsidRDefault="00CC5346" w:rsidP="00CC5346">
      <w:pPr>
        <w:spacing w:before="120"/>
        <w:jc w:val="both"/>
      </w:pPr>
      <w:r>
        <w:t xml:space="preserve">Předložený návrh zákona </w:t>
      </w:r>
      <w:r w:rsidR="007D63AD">
        <w:t>v </w:t>
      </w:r>
      <w:r>
        <w:t xml:space="preserve">sobě obsahuje </w:t>
      </w:r>
      <w:r w:rsidRPr="003068DA">
        <w:rPr>
          <w:b/>
        </w:rPr>
        <w:t>část transpoziční</w:t>
      </w:r>
      <w:r>
        <w:t xml:space="preserve">, jejímž předmětem je </w:t>
      </w:r>
    </w:p>
    <w:p w14:paraId="68EE7ADB" w14:textId="7DA08123" w:rsidR="003068DA" w:rsidRDefault="00CC5346" w:rsidP="003068DA">
      <w:pPr>
        <w:spacing w:before="120"/>
        <w:ind w:left="567" w:hanging="283"/>
        <w:jc w:val="both"/>
      </w:pPr>
      <w:r>
        <w:t>-</w:t>
      </w:r>
      <w:r w:rsidR="003068DA" w:rsidRPr="003068DA">
        <w:rPr>
          <w:b/>
        </w:rPr>
        <w:t xml:space="preserve"> </w:t>
      </w:r>
      <w:r w:rsidR="003068DA" w:rsidRPr="00B85C88">
        <w:rPr>
          <w:b/>
        </w:rPr>
        <w:t>transpozice směrnice Rady (EU) 2020/285</w:t>
      </w:r>
      <w:r w:rsidR="003068DA">
        <w:t xml:space="preserve"> ze dne 18. února 2020, kterou se mění směrnice 2006/112/ES </w:t>
      </w:r>
      <w:r w:rsidR="007D63AD">
        <w:t>o </w:t>
      </w:r>
      <w:r w:rsidR="003068DA">
        <w:t xml:space="preserve">společném systému daně </w:t>
      </w:r>
      <w:r w:rsidR="007D63AD">
        <w:t>z </w:t>
      </w:r>
      <w:r w:rsidR="003068DA">
        <w:t xml:space="preserve">přidané hodnoty, pokud jde </w:t>
      </w:r>
      <w:r w:rsidR="007D63AD">
        <w:t>o </w:t>
      </w:r>
      <w:r w:rsidR="003068DA">
        <w:t xml:space="preserve">zvláštní režim pro malé podniky, </w:t>
      </w:r>
      <w:r w:rsidR="007D63AD">
        <w:t>a </w:t>
      </w:r>
      <w:r w:rsidR="003068DA">
        <w:t xml:space="preserve">nařízení (EU) </w:t>
      </w:r>
      <w:r w:rsidR="007D63AD">
        <w:t>č. </w:t>
      </w:r>
      <w:r w:rsidR="003068DA">
        <w:t xml:space="preserve">904/2010, pokud jde </w:t>
      </w:r>
      <w:r w:rsidR="007D63AD">
        <w:t>o </w:t>
      </w:r>
      <w:r w:rsidR="003068DA">
        <w:t xml:space="preserve">správní spolupráci </w:t>
      </w:r>
      <w:r w:rsidR="007D63AD">
        <w:t>a </w:t>
      </w:r>
      <w:r w:rsidR="003068DA">
        <w:t>výměnu informací za účelem sledování správného uplatňování zvláštního režimu pro malé podniky, a</w:t>
      </w:r>
    </w:p>
    <w:p w14:paraId="1FEC1155" w14:textId="01A4BA0F" w:rsidR="003068DA" w:rsidRDefault="003068DA" w:rsidP="003068DA">
      <w:pPr>
        <w:spacing w:before="120"/>
        <w:ind w:left="567" w:hanging="283"/>
        <w:jc w:val="both"/>
      </w:pPr>
      <w:r>
        <w:t>-</w:t>
      </w:r>
      <w:r>
        <w:tab/>
      </w:r>
      <w:r w:rsidRPr="00B85C88">
        <w:rPr>
          <w:b/>
        </w:rPr>
        <w:t>transpozice směrnice Rady (EU) 2022/542</w:t>
      </w:r>
      <w:r>
        <w:t xml:space="preserve"> ze dne 5. dubna 2022, kterou se mění směrnice 2006/112/ES </w:t>
      </w:r>
      <w:r w:rsidR="007D63AD">
        <w:t>a </w:t>
      </w:r>
      <w:r>
        <w:t xml:space="preserve">(EU) 2020/285, pokud jde </w:t>
      </w:r>
      <w:r w:rsidR="007D63AD">
        <w:t>o </w:t>
      </w:r>
      <w:r>
        <w:t xml:space="preserve">sazby daně </w:t>
      </w:r>
      <w:r w:rsidR="007D63AD">
        <w:t>z </w:t>
      </w:r>
      <w:r>
        <w:t xml:space="preserve">přidané hodnoty, která započala </w:t>
      </w:r>
      <w:r w:rsidR="007D63AD">
        <w:t>v </w:t>
      </w:r>
      <w:r>
        <w:t>tzv. konsolidačním balíčku.</w:t>
      </w:r>
    </w:p>
    <w:p w14:paraId="4F906CC0" w14:textId="4BEFC705" w:rsidR="003068DA" w:rsidRDefault="003068DA" w:rsidP="003068DA">
      <w:pPr>
        <w:spacing w:before="120" w:after="120"/>
        <w:jc w:val="both"/>
      </w:pPr>
      <w:r w:rsidRPr="00B85C88">
        <w:rPr>
          <w:b/>
        </w:rPr>
        <w:t>Druhá</w:t>
      </w:r>
      <w:r>
        <w:rPr>
          <w:b/>
        </w:rPr>
        <w:t>, netranspoziční</w:t>
      </w:r>
      <w:r w:rsidRPr="00B85C88">
        <w:rPr>
          <w:b/>
        </w:rPr>
        <w:t xml:space="preserve"> část</w:t>
      </w:r>
      <w:r>
        <w:t xml:space="preserve"> předloženého návrhu zákona </w:t>
      </w:r>
      <w:r w:rsidRPr="00B85C88">
        <w:rPr>
          <w:b/>
        </w:rPr>
        <w:t>obsahuje ú</w:t>
      </w:r>
      <w:r>
        <w:rPr>
          <w:b/>
        </w:rPr>
        <w:t>pravu reagující na zkušenosti z </w:t>
      </w:r>
      <w:r w:rsidRPr="00B85C88">
        <w:rPr>
          <w:b/>
        </w:rPr>
        <w:t xml:space="preserve">aplikační praxe </w:t>
      </w:r>
      <w:r w:rsidR="007D63AD" w:rsidRPr="00B85C88">
        <w:rPr>
          <w:b/>
        </w:rPr>
        <w:t>a</w:t>
      </w:r>
      <w:r w:rsidR="007D63AD">
        <w:rPr>
          <w:b/>
        </w:rPr>
        <w:t> </w:t>
      </w:r>
      <w:r w:rsidRPr="00B85C88">
        <w:rPr>
          <w:b/>
        </w:rPr>
        <w:t>judikatury</w:t>
      </w:r>
      <w:r>
        <w:t xml:space="preserve"> </w:t>
      </w:r>
      <w:r w:rsidR="007D63AD">
        <w:t>v </w:t>
      </w:r>
      <w:r>
        <w:t xml:space="preserve">oblasti daně </w:t>
      </w:r>
      <w:r w:rsidR="007D63AD">
        <w:t>z </w:t>
      </w:r>
      <w:r>
        <w:t xml:space="preserve">přidané hodnoty, které vedly k potřebě upravit </w:t>
      </w:r>
      <w:r w:rsidR="007D63AD">
        <w:t>a </w:t>
      </w:r>
      <w:r>
        <w:t xml:space="preserve">lépe formulovat některá ustanovení zákona </w:t>
      </w:r>
      <w:r w:rsidR="007D63AD">
        <w:t>o </w:t>
      </w:r>
      <w:r>
        <w:t xml:space="preserve">dani </w:t>
      </w:r>
      <w:r w:rsidR="007D63AD">
        <w:t>z </w:t>
      </w:r>
      <w:r>
        <w:t xml:space="preserve">přidané hodnoty. Mezi tyto změny patří úpravy </w:t>
      </w:r>
      <w:r w:rsidR="007D63AD">
        <w:t>v </w:t>
      </w:r>
      <w:r>
        <w:t>oblastech (i) nároku na odpočet daně při registraci plátce, (</w:t>
      </w:r>
      <w:proofErr w:type="spellStart"/>
      <w:r>
        <w:t>ii</w:t>
      </w:r>
      <w:proofErr w:type="spellEnd"/>
      <w:r>
        <w:t>) stavebnictví, (</w:t>
      </w:r>
      <w:proofErr w:type="spellStart"/>
      <w:r>
        <w:t>iii</w:t>
      </w:r>
      <w:proofErr w:type="spellEnd"/>
      <w:r>
        <w:t>) opravy základu daně, (</w:t>
      </w:r>
      <w:proofErr w:type="spellStart"/>
      <w:r>
        <w:t>iv</w:t>
      </w:r>
      <w:proofErr w:type="spellEnd"/>
      <w:r>
        <w:t>) nedobytných pohledávek, (v) vracení daně nebo (</w:t>
      </w:r>
      <w:proofErr w:type="spellStart"/>
      <w:r>
        <w:t>vi</w:t>
      </w:r>
      <w:proofErr w:type="spellEnd"/>
      <w:r>
        <w:t xml:space="preserve">) zrušení specifické úpravy majetku vytvořeného vlastní činností. Cílem všech těchto změn je zejména zefektivnění procesu správy </w:t>
      </w:r>
      <w:r w:rsidR="00037871">
        <w:t xml:space="preserve">daně </w:t>
      </w:r>
      <w:r w:rsidR="007D63AD">
        <w:t>z </w:t>
      </w:r>
      <w:r>
        <w:t xml:space="preserve">přidané hodnoty, snížení administrativních nákladů </w:t>
      </w:r>
      <w:r w:rsidR="007D63AD">
        <w:t>a </w:t>
      </w:r>
      <w:r>
        <w:t>zvýšení právní jistoty dotčených subjektů.</w:t>
      </w:r>
    </w:p>
    <w:p w14:paraId="7D937771" w14:textId="4327B620" w:rsidR="003068DA" w:rsidRDefault="003068DA" w:rsidP="003068DA">
      <w:pPr>
        <w:spacing w:before="120"/>
        <w:jc w:val="both"/>
      </w:pPr>
      <w:r w:rsidRPr="00B85C88">
        <w:rPr>
          <w:b/>
        </w:rPr>
        <w:t>Základní účinnost</w:t>
      </w:r>
      <w:r>
        <w:t xml:space="preserve"> většiny ustanovení zákona je navrhována </w:t>
      </w:r>
      <w:r w:rsidR="007D63AD">
        <w:t>v </w:t>
      </w:r>
      <w:r>
        <w:t xml:space="preserve">souladu </w:t>
      </w:r>
      <w:r w:rsidR="007D63AD">
        <w:t>s </w:t>
      </w:r>
      <w:r>
        <w:t xml:space="preserve">transpozičními termíny </w:t>
      </w:r>
      <w:r w:rsidR="007D63AD" w:rsidRPr="00B85C88">
        <w:rPr>
          <w:b/>
        </w:rPr>
        <w:t>k</w:t>
      </w:r>
      <w:r w:rsidR="007D63AD">
        <w:rPr>
          <w:b/>
        </w:rPr>
        <w:t> </w:t>
      </w:r>
      <w:r w:rsidRPr="00B85C88">
        <w:rPr>
          <w:b/>
        </w:rPr>
        <w:t>1. lednu 2025</w:t>
      </w:r>
      <w:r>
        <w:t>. Výjimkou je úprava:</w:t>
      </w:r>
    </w:p>
    <w:p w14:paraId="1D5A37AB" w14:textId="485FF93E" w:rsidR="003068DA" w:rsidRDefault="003068DA" w:rsidP="003068DA">
      <w:pPr>
        <w:pStyle w:val="Odstavecseseznamem"/>
        <w:numPr>
          <w:ilvl w:val="0"/>
          <w:numId w:val="7"/>
        </w:numPr>
        <w:spacing w:before="120"/>
        <w:jc w:val="both"/>
      </w:pPr>
      <w:r>
        <w:t xml:space="preserve">problematiky </w:t>
      </w:r>
      <w:r w:rsidRPr="0024237A">
        <w:rPr>
          <w:b/>
        </w:rPr>
        <w:t xml:space="preserve">osvobození od daně při vývozu zboží </w:t>
      </w:r>
      <w:r w:rsidR="007D63AD" w:rsidRPr="0024237A">
        <w:rPr>
          <w:b/>
        </w:rPr>
        <w:t>a</w:t>
      </w:r>
      <w:r w:rsidR="007D63AD">
        <w:rPr>
          <w:b/>
        </w:rPr>
        <w:t> </w:t>
      </w:r>
      <w:r w:rsidRPr="0024237A">
        <w:rPr>
          <w:b/>
        </w:rPr>
        <w:t xml:space="preserve">vracení daně </w:t>
      </w:r>
      <w:r>
        <w:rPr>
          <w:b/>
        </w:rPr>
        <w:t>cestujícím</w:t>
      </w:r>
      <w:r w:rsidRPr="0024237A">
        <w:rPr>
          <w:b/>
        </w:rPr>
        <w:t xml:space="preserve"> ze třetích zemí</w:t>
      </w:r>
      <w:r>
        <w:t xml:space="preserve"> s navrhovanou účinností od </w:t>
      </w:r>
      <w:r w:rsidRPr="0024237A">
        <w:rPr>
          <w:b/>
        </w:rPr>
        <w:t>1. července 2025</w:t>
      </w:r>
      <w:r>
        <w:t xml:space="preserve"> </w:t>
      </w:r>
      <w:r w:rsidR="007D63AD">
        <w:t>z </w:t>
      </w:r>
      <w:r>
        <w:t xml:space="preserve">důvodu nutnosti úpravy </w:t>
      </w:r>
      <w:r w:rsidR="007D63AD">
        <w:t>a </w:t>
      </w:r>
      <w:r>
        <w:t>dovyvinutí informačního systému Celní správy ČR;</w:t>
      </w:r>
    </w:p>
    <w:p w14:paraId="29165A4A" w14:textId="6C1575B7" w:rsidR="003068DA" w:rsidRDefault="003068DA" w:rsidP="003068DA">
      <w:pPr>
        <w:pStyle w:val="Odstavecseseznamem"/>
        <w:numPr>
          <w:ilvl w:val="0"/>
          <w:numId w:val="7"/>
        </w:numPr>
        <w:spacing w:before="120"/>
        <w:jc w:val="both"/>
      </w:pPr>
      <w:r w:rsidRPr="00B85C88">
        <w:rPr>
          <w:b/>
        </w:rPr>
        <w:t xml:space="preserve">zrušení omezení uplatnění části nároku na odpočet daně </w:t>
      </w:r>
      <w:r w:rsidR="007D63AD" w:rsidRPr="00B85C88">
        <w:rPr>
          <w:b/>
        </w:rPr>
        <w:t>u</w:t>
      </w:r>
      <w:r w:rsidR="007D63AD">
        <w:rPr>
          <w:b/>
        </w:rPr>
        <w:t> </w:t>
      </w:r>
      <w:r w:rsidRPr="00B85C88">
        <w:rPr>
          <w:b/>
        </w:rPr>
        <w:t>vybraných vozidel</w:t>
      </w:r>
      <w:r>
        <w:t xml:space="preserve"> s navrhovanou účinností </w:t>
      </w:r>
      <w:r w:rsidRPr="00B85C88">
        <w:rPr>
          <w:b/>
        </w:rPr>
        <w:t>od 1. ledna 2027</w:t>
      </w:r>
      <w:r>
        <w:t>.</w:t>
      </w:r>
    </w:p>
    <w:p w14:paraId="623FF7CB" w14:textId="1D26EA49" w:rsidR="003068DA" w:rsidRDefault="003068DA" w:rsidP="003068DA">
      <w:pPr>
        <w:spacing w:before="120"/>
        <w:jc w:val="both"/>
      </w:pPr>
      <w:r>
        <w:t xml:space="preserve">Předkládaný </w:t>
      </w:r>
      <w:r w:rsidRPr="00B85C88">
        <w:rPr>
          <w:b/>
        </w:rPr>
        <w:t>materiál obsahuje významnější negativní rozpočtové dopady pouze v určitých oblastech</w:t>
      </w:r>
      <w:r>
        <w:t xml:space="preserve">, </w:t>
      </w:r>
      <w:r w:rsidR="007D63AD">
        <w:t>a </w:t>
      </w:r>
      <w:r>
        <w:t xml:space="preserve">to </w:t>
      </w:r>
      <w:r w:rsidR="007D63AD">
        <w:t>v </w:t>
      </w:r>
      <w:r>
        <w:t xml:space="preserve">případě </w:t>
      </w:r>
    </w:p>
    <w:p w14:paraId="4B1215F0" w14:textId="1D00DF7E" w:rsidR="003068DA" w:rsidRDefault="003068DA" w:rsidP="003068DA">
      <w:pPr>
        <w:pStyle w:val="Odstavecseseznamem"/>
        <w:numPr>
          <w:ilvl w:val="0"/>
          <w:numId w:val="7"/>
        </w:numPr>
        <w:spacing w:before="120"/>
        <w:jc w:val="both"/>
      </w:pPr>
      <w:r w:rsidRPr="00B85C88">
        <w:rPr>
          <w:b/>
        </w:rPr>
        <w:t xml:space="preserve">úpravy nedobytných pohledávek </w:t>
      </w:r>
      <w:r w:rsidR="007D63AD" w:rsidRPr="00B85C88">
        <w:rPr>
          <w:b/>
        </w:rPr>
        <w:t>v</w:t>
      </w:r>
      <w:r w:rsidR="007D63AD">
        <w:rPr>
          <w:b/>
        </w:rPr>
        <w:t> </w:t>
      </w:r>
      <w:r w:rsidRPr="00B85C88">
        <w:rPr>
          <w:b/>
        </w:rPr>
        <w:t>řádu až jednotek mld. Kč ročně</w:t>
      </w:r>
      <w:r>
        <w:t xml:space="preserve"> na úrovni veřejných rozpočtů; </w:t>
      </w:r>
    </w:p>
    <w:p w14:paraId="0FE0874F" w14:textId="7C7C8490" w:rsidR="003068DA" w:rsidRDefault="003068DA" w:rsidP="003068DA">
      <w:pPr>
        <w:pStyle w:val="Odstavecseseznamem"/>
        <w:numPr>
          <w:ilvl w:val="0"/>
          <w:numId w:val="7"/>
        </w:numPr>
        <w:spacing w:before="120"/>
        <w:jc w:val="both"/>
      </w:pPr>
      <w:r w:rsidRPr="0024237A">
        <w:rPr>
          <w:b/>
        </w:rPr>
        <w:t>transpozice unijní úprav</w:t>
      </w:r>
      <w:r w:rsidR="00992134">
        <w:rPr>
          <w:b/>
        </w:rPr>
        <w:t>y</w:t>
      </w:r>
      <w:r w:rsidRPr="0024237A">
        <w:rPr>
          <w:b/>
        </w:rPr>
        <w:t xml:space="preserve"> v oblasti malých podniků</w:t>
      </w:r>
      <w:r w:rsidR="00992134">
        <w:rPr>
          <w:b/>
        </w:rPr>
        <w:t>, kde</w:t>
      </w:r>
      <w:r w:rsidRPr="0024237A">
        <w:rPr>
          <w:b/>
        </w:rPr>
        <w:t xml:space="preserve"> se podle odhadů</w:t>
      </w:r>
      <w:r w:rsidRPr="00846CBE">
        <w:t xml:space="preserve"> Generálního finančního ředitelství </w:t>
      </w:r>
      <w:r>
        <w:t xml:space="preserve">bude jednat </w:t>
      </w:r>
      <w:r w:rsidR="007D63AD">
        <w:t>o </w:t>
      </w:r>
      <w:r>
        <w:t xml:space="preserve">dopad </w:t>
      </w:r>
      <w:r w:rsidRPr="0024237A">
        <w:rPr>
          <w:b/>
        </w:rPr>
        <w:t>ve výši 50 mil Kč</w:t>
      </w:r>
      <w:r w:rsidRPr="00846CBE">
        <w:t xml:space="preserve"> bez daně </w:t>
      </w:r>
      <w:r w:rsidR="007D63AD" w:rsidRPr="00846CBE">
        <w:t>z</w:t>
      </w:r>
      <w:r w:rsidR="007D63AD">
        <w:t> </w:t>
      </w:r>
      <w:r w:rsidRPr="00846CBE">
        <w:t>přidané hodnoty</w:t>
      </w:r>
      <w:r>
        <w:t xml:space="preserve"> na </w:t>
      </w:r>
      <w:r w:rsidRPr="00846CBE">
        <w:t>úprav</w:t>
      </w:r>
      <w:r>
        <w:t>u</w:t>
      </w:r>
      <w:r w:rsidRPr="00846CBE">
        <w:t xml:space="preserve"> informačního systému správce daně</w:t>
      </w:r>
      <w:r>
        <w:t xml:space="preserve"> (t</w:t>
      </w:r>
      <w:r w:rsidRPr="00F02967">
        <w:t xml:space="preserve">yto </w:t>
      </w:r>
      <w:r>
        <w:t>výdaje budou zahrnuty do</w:t>
      </w:r>
      <w:r w:rsidRPr="00F02967">
        <w:t xml:space="preserve"> schválených výdajových limitů</w:t>
      </w:r>
      <w:r>
        <w:t xml:space="preserve"> Finanční správy ČR);</w:t>
      </w:r>
    </w:p>
    <w:p w14:paraId="33B3A37D" w14:textId="324D8AAA" w:rsidR="003068DA" w:rsidRDefault="003068DA" w:rsidP="003068DA">
      <w:pPr>
        <w:pStyle w:val="Odstavecseseznamem"/>
        <w:numPr>
          <w:ilvl w:val="0"/>
          <w:numId w:val="7"/>
        </w:numPr>
        <w:spacing w:before="120"/>
        <w:jc w:val="both"/>
      </w:pPr>
      <w:r w:rsidRPr="00B85C88">
        <w:rPr>
          <w:b/>
        </w:rPr>
        <w:t xml:space="preserve">elektronizace </w:t>
      </w:r>
      <w:r w:rsidR="007D63AD" w:rsidRPr="00B85C88">
        <w:rPr>
          <w:b/>
        </w:rPr>
        <w:t>v</w:t>
      </w:r>
      <w:r w:rsidR="007D63AD">
        <w:rPr>
          <w:b/>
        </w:rPr>
        <w:t> </w:t>
      </w:r>
      <w:r w:rsidRPr="00B85C88">
        <w:rPr>
          <w:b/>
        </w:rPr>
        <w:t xml:space="preserve">oblasti vracení daně cestujícím ze třetích zemí mezi </w:t>
      </w:r>
      <w:r w:rsidR="007D63AD" w:rsidRPr="00B85C88">
        <w:rPr>
          <w:b/>
        </w:rPr>
        <w:t>5</w:t>
      </w:r>
      <w:r w:rsidR="007D63AD">
        <w:rPr>
          <w:b/>
        </w:rPr>
        <w:t> </w:t>
      </w:r>
      <w:r w:rsidRPr="00B85C88">
        <w:rPr>
          <w:b/>
        </w:rPr>
        <w:t xml:space="preserve">až </w:t>
      </w:r>
      <w:r w:rsidR="007D63AD" w:rsidRPr="00B85C88">
        <w:rPr>
          <w:b/>
        </w:rPr>
        <w:t>6</w:t>
      </w:r>
      <w:r w:rsidR="007D63AD">
        <w:rPr>
          <w:b/>
        </w:rPr>
        <w:t> </w:t>
      </w:r>
      <w:r w:rsidRPr="00B85C88">
        <w:rPr>
          <w:b/>
        </w:rPr>
        <w:t>mil. Kč</w:t>
      </w:r>
      <w:r>
        <w:t xml:space="preserve"> na straně Celní správy České republiky. </w:t>
      </w:r>
    </w:p>
    <w:p w14:paraId="7373931D" w14:textId="4D11BA66" w:rsidR="00B438F4" w:rsidRPr="00E94A9E" w:rsidRDefault="00B438F4" w:rsidP="00B438F4">
      <w:pPr>
        <w:spacing w:before="120"/>
        <w:jc w:val="both"/>
      </w:pPr>
      <w:r>
        <w:t xml:space="preserve">Pozitivní dopad na inkaso daně </w:t>
      </w:r>
      <w:r w:rsidR="007D63AD">
        <w:t>z </w:t>
      </w:r>
      <w:r>
        <w:t xml:space="preserve">přidané hodnoty </w:t>
      </w:r>
      <w:r w:rsidR="007D63AD">
        <w:t>v </w:t>
      </w:r>
      <w:r>
        <w:t>odhadované výši 0,</w:t>
      </w:r>
      <w:r w:rsidR="007D63AD">
        <w:t>1 </w:t>
      </w:r>
      <w:r>
        <w:t xml:space="preserve">mld. Kč ročně na úrovni veřejných rozpočtů může mít zrušení institutu vracení daně osobám se zdravotním postižením. Na druhou stranu však bude zrušení vracení daně osobám se zdravotním postižením kompenzováno na straně dávek v gesci Ministerstva práce </w:t>
      </w:r>
      <w:r w:rsidR="007D63AD">
        <w:t>a </w:t>
      </w:r>
      <w:r>
        <w:t xml:space="preserve">sociálních věcí, kterému bude alokována potřebná částka do kapitoly 313 – MPSV. V této souvislosti bude v rámci vnějšího připomínkového řízení po dohodě s Ministerstvem práce </w:t>
      </w:r>
      <w:r w:rsidR="007D63AD">
        <w:t>a </w:t>
      </w:r>
      <w:r>
        <w:t xml:space="preserve">sociálních věcí do návrhu zákona doplněna novela zákona </w:t>
      </w:r>
      <w:r w:rsidR="007D63AD">
        <w:t>o </w:t>
      </w:r>
      <w:r>
        <w:t>poskytování dávek osobám se zdravotním postižením.</w:t>
      </w:r>
    </w:p>
    <w:p w14:paraId="52E56230" w14:textId="5401F942" w:rsidR="006A26E3" w:rsidRPr="002A17C0" w:rsidRDefault="000D360A" w:rsidP="0003084B">
      <w:pPr>
        <w:spacing w:before="120"/>
        <w:jc w:val="both"/>
      </w:pPr>
      <w:r w:rsidRPr="000D360A">
        <w:t xml:space="preserve">Materiál se navrhuje zařadit na jednání vlády do </w:t>
      </w:r>
      <w:r w:rsidR="00905981" w:rsidRPr="000D360A">
        <w:t>části</w:t>
      </w:r>
      <w:r w:rsidR="00905981">
        <w:t> </w:t>
      </w:r>
      <w:r w:rsidR="007D63AD" w:rsidRPr="000D360A">
        <w:t>B</w:t>
      </w:r>
      <w:r w:rsidR="007D63AD">
        <w:t> </w:t>
      </w:r>
      <w:r w:rsidRPr="000D360A">
        <w:t xml:space="preserve">– </w:t>
      </w:r>
      <w:r w:rsidR="004273E2" w:rsidRPr="000D360A">
        <w:t>s</w:t>
      </w:r>
      <w:r w:rsidR="004273E2">
        <w:t> </w:t>
      </w:r>
      <w:r w:rsidRPr="000D360A">
        <w:t>rozpravou.</w:t>
      </w:r>
    </w:p>
    <w:sectPr w:rsidR="006A26E3" w:rsidRPr="002A17C0" w:rsidSect="007D63AD">
      <w:headerReference w:type="default" r:id="rId7"/>
      <w:headerReference w:type="first" r:id="rId8"/>
      <w:pgSz w:w="11906" w:h="16838"/>
      <w:pgMar w:top="851" w:right="1304" w:bottom="851" w:left="1304" w:header="720" w:footer="720" w:gutter="0"/>
      <w:pgNumType w:fmt="numberInDash"/>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5EF4F63" w14:textId="77777777" w:rsidR="008767EF" w:rsidRDefault="008767EF">
      <w:r>
        <w:separator/>
      </w:r>
    </w:p>
  </w:endnote>
  <w:endnote w:type="continuationSeparator" w:id="0">
    <w:p w14:paraId="14CBA8C6" w14:textId="77777777" w:rsidR="008767EF" w:rsidRDefault="008767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D3BE1D2" w14:textId="77777777" w:rsidR="008767EF" w:rsidRDefault="008767EF">
      <w:r>
        <w:separator/>
      </w:r>
    </w:p>
  </w:footnote>
  <w:footnote w:type="continuationSeparator" w:id="0">
    <w:p w14:paraId="7BFE8E08" w14:textId="77777777" w:rsidR="008767EF" w:rsidRDefault="008767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6571006"/>
      <w:docPartObj>
        <w:docPartGallery w:val="Page Numbers (Top of Page)"/>
        <w:docPartUnique/>
      </w:docPartObj>
    </w:sdtPr>
    <w:sdtEndPr/>
    <w:sdtContent>
      <w:p w14:paraId="4B41CA2D" w14:textId="733552D0" w:rsidR="002A149D" w:rsidRDefault="002A149D">
        <w:pPr>
          <w:pStyle w:val="Zhlav"/>
          <w:jc w:val="center"/>
        </w:pPr>
        <w:r>
          <w:fldChar w:fldCharType="begin"/>
        </w:r>
        <w:r>
          <w:instrText>PAGE   \* MERGEFORMAT</w:instrText>
        </w:r>
        <w:r>
          <w:fldChar w:fldCharType="separate"/>
        </w:r>
        <w:r w:rsidR="007D63AD">
          <w:rPr>
            <w:noProof/>
          </w:rPr>
          <w:t>- 2 -</w:t>
        </w:r>
        <w:r>
          <w:fldChar w:fldCharType="end"/>
        </w:r>
      </w:p>
    </w:sdtContent>
  </w:sdt>
  <w:p w14:paraId="35F5FE89" w14:textId="77777777" w:rsidR="002A149D" w:rsidRDefault="002A149D">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F6A38" w14:textId="77777777" w:rsidR="00442D4D" w:rsidRPr="00442D4D" w:rsidRDefault="006868AC" w:rsidP="00442D4D">
    <w:pPr>
      <w:pStyle w:val="Zhlav"/>
      <w:jc w:val="right"/>
      <w:rPr>
        <w:b/>
      </w:rPr>
    </w:pPr>
    <w:r w:rsidRPr="00442D4D">
      <w:rPr>
        <w:b/>
      </w:rPr>
      <w:t>II.</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872FF8"/>
    <w:multiLevelType w:val="hybridMultilevel"/>
    <w:tmpl w:val="E28813F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18A92EE7"/>
    <w:multiLevelType w:val="hybridMultilevel"/>
    <w:tmpl w:val="24C6150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421E41B0"/>
    <w:multiLevelType w:val="hybridMultilevel"/>
    <w:tmpl w:val="B73ADE24"/>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5AE54E8B"/>
    <w:multiLevelType w:val="hybridMultilevel"/>
    <w:tmpl w:val="EF8A3770"/>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 w15:restartNumberingAfterBreak="0">
    <w:nsid w:val="5DBA724C"/>
    <w:multiLevelType w:val="hybridMultilevel"/>
    <w:tmpl w:val="23AE30F8"/>
    <w:lvl w:ilvl="0" w:tplc="06706774">
      <w:start w:val="2"/>
      <w:numFmt w:val="bullet"/>
      <w:lvlText w:val="-"/>
      <w:lvlJc w:val="left"/>
      <w:pPr>
        <w:ind w:left="720" w:hanging="360"/>
      </w:pPr>
      <w:rPr>
        <w:rFonts w:ascii="Times New Roman" w:eastAsia="Times New Roman" w:hAnsi="Times New Roman" w:cs="Times New Roman"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15:restartNumberingAfterBreak="0">
    <w:nsid w:val="7C1202CD"/>
    <w:multiLevelType w:val="hybridMultilevel"/>
    <w:tmpl w:val="6CBAA22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6" w15:restartNumberingAfterBreak="0">
    <w:nsid w:val="7D5E5B4A"/>
    <w:multiLevelType w:val="hybridMultilevel"/>
    <w:tmpl w:val="A3FEE664"/>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0"/>
  </w:num>
  <w:num w:numId="4">
    <w:abstractNumId w:val="6"/>
  </w:num>
  <w:num w:numId="5">
    <w:abstractNumId w:val="2"/>
  </w:num>
  <w:num w:numId="6">
    <w:abstractNumId w:val="1"/>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4F9"/>
    <w:rsid w:val="000100CF"/>
    <w:rsid w:val="0003084B"/>
    <w:rsid w:val="00035893"/>
    <w:rsid w:val="00037871"/>
    <w:rsid w:val="00037DBD"/>
    <w:rsid w:val="00056A4E"/>
    <w:rsid w:val="00087E4B"/>
    <w:rsid w:val="000A1B6F"/>
    <w:rsid w:val="000B6A79"/>
    <w:rsid w:val="000C3CB2"/>
    <w:rsid w:val="000D360A"/>
    <w:rsid w:val="000F2502"/>
    <w:rsid w:val="000F73C6"/>
    <w:rsid w:val="00112E25"/>
    <w:rsid w:val="0011543D"/>
    <w:rsid w:val="00133E61"/>
    <w:rsid w:val="00142376"/>
    <w:rsid w:val="00143BBB"/>
    <w:rsid w:val="0015261E"/>
    <w:rsid w:val="00152765"/>
    <w:rsid w:val="00156329"/>
    <w:rsid w:val="00177DDE"/>
    <w:rsid w:val="0018471D"/>
    <w:rsid w:val="00187BA3"/>
    <w:rsid w:val="00195394"/>
    <w:rsid w:val="001A0459"/>
    <w:rsid w:val="001B052E"/>
    <w:rsid w:val="001C76A4"/>
    <w:rsid w:val="001D7A30"/>
    <w:rsid w:val="001F540E"/>
    <w:rsid w:val="002060FF"/>
    <w:rsid w:val="002066F3"/>
    <w:rsid w:val="002222F0"/>
    <w:rsid w:val="0023676A"/>
    <w:rsid w:val="00245E2C"/>
    <w:rsid w:val="0025446E"/>
    <w:rsid w:val="00263C53"/>
    <w:rsid w:val="00264A11"/>
    <w:rsid w:val="00282523"/>
    <w:rsid w:val="002A149D"/>
    <w:rsid w:val="002A17C0"/>
    <w:rsid w:val="002C3270"/>
    <w:rsid w:val="002D1EA5"/>
    <w:rsid w:val="002E0C9F"/>
    <w:rsid w:val="0030155A"/>
    <w:rsid w:val="003068DA"/>
    <w:rsid w:val="003120BF"/>
    <w:rsid w:val="00313396"/>
    <w:rsid w:val="00322CC9"/>
    <w:rsid w:val="00325401"/>
    <w:rsid w:val="00332B84"/>
    <w:rsid w:val="00343AE7"/>
    <w:rsid w:val="00355CB6"/>
    <w:rsid w:val="0037108C"/>
    <w:rsid w:val="00381EA7"/>
    <w:rsid w:val="00390364"/>
    <w:rsid w:val="00397196"/>
    <w:rsid w:val="003A6AC5"/>
    <w:rsid w:val="003B3B59"/>
    <w:rsid w:val="003B40CA"/>
    <w:rsid w:val="003D3B6C"/>
    <w:rsid w:val="003E11CF"/>
    <w:rsid w:val="003E5247"/>
    <w:rsid w:val="003E780C"/>
    <w:rsid w:val="003F30E8"/>
    <w:rsid w:val="003F7023"/>
    <w:rsid w:val="0040214B"/>
    <w:rsid w:val="004050CA"/>
    <w:rsid w:val="004115D1"/>
    <w:rsid w:val="00415A0C"/>
    <w:rsid w:val="004260A1"/>
    <w:rsid w:val="004273E2"/>
    <w:rsid w:val="00427F65"/>
    <w:rsid w:val="004308DF"/>
    <w:rsid w:val="00435CFA"/>
    <w:rsid w:val="00446441"/>
    <w:rsid w:val="00454E53"/>
    <w:rsid w:val="0046136A"/>
    <w:rsid w:val="00472962"/>
    <w:rsid w:val="00474A29"/>
    <w:rsid w:val="0048038F"/>
    <w:rsid w:val="00492152"/>
    <w:rsid w:val="004A2234"/>
    <w:rsid w:val="004B2BA9"/>
    <w:rsid w:val="004B4119"/>
    <w:rsid w:val="004D48F4"/>
    <w:rsid w:val="004E029C"/>
    <w:rsid w:val="005005DD"/>
    <w:rsid w:val="00504080"/>
    <w:rsid w:val="005158C9"/>
    <w:rsid w:val="00532FCC"/>
    <w:rsid w:val="0055245D"/>
    <w:rsid w:val="0055463B"/>
    <w:rsid w:val="00562492"/>
    <w:rsid w:val="0059267F"/>
    <w:rsid w:val="00595869"/>
    <w:rsid w:val="00595C4C"/>
    <w:rsid w:val="005B5FC2"/>
    <w:rsid w:val="005C6EFB"/>
    <w:rsid w:val="005F067B"/>
    <w:rsid w:val="005F69E0"/>
    <w:rsid w:val="005F7168"/>
    <w:rsid w:val="0060641F"/>
    <w:rsid w:val="0062785C"/>
    <w:rsid w:val="00663C9F"/>
    <w:rsid w:val="0067414A"/>
    <w:rsid w:val="00676919"/>
    <w:rsid w:val="006868AC"/>
    <w:rsid w:val="00692284"/>
    <w:rsid w:val="00696F8B"/>
    <w:rsid w:val="006A26E3"/>
    <w:rsid w:val="006B2079"/>
    <w:rsid w:val="006E2E17"/>
    <w:rsid w:val="006F1702"/>
    <w:rsid w:val="00703A8D"/>
    <w:rsid w:val="00710A68"/>
    <w:rsid w:val="00737E4D"/>
    <w:rsid w:val="00744D85"/>
    <w:rsid w:val="00751C72"/>
    <w:rsid w:val="00757634"/>
    <w:rsid w:val="007577E0"/>
    <w:rsid w:val="00785222"/>
    <w:rsid w:val="00794F91"/>
    <w:rsid w:val="007B627F"/>
    <w:rsid w:val="007B67A7"/>
    <w:rsid w:val="007D34FE"/>
    <w:rsid w:val="007D63AD"/>
    <w:rsid w:val="00845D0D"/>
    <w:rsid w:val="00852A89"/>
    <w:rsid w:val="00872DFC"/>
    <w:rsid w:val="008767EF"/>
    <w:rsid w:val="00880DAB"/>
    <w:rsid w:val="00885049"/>
    <w:rsid w:val="008A2AB5"/>
    <w:rsid w:val="008C3484"/>
    <w:rsid w:val="008C4865"/>
    <w:rsid w:val="008D4AB2"/>
    <w:rsid w:val="008D5A5D"/>
    <w:rsid w:val="008E5716"/>
    <w:rsid w:val="008E6C21"/>
    <w:rsid w:val="008F1A39"/>
    <w:rsid w:val="00904CD1"/>
    <w:rsid w:val="00905981"/>
    <w:rsid w:val="00905C80"/>
    <w:rsid w:val="00913D54"/>
    <w:rsid w:val="009166DB"/>
    <w:rsid w:val="00921866"/>
    <w:rsid w:val="009425EB"/>
    <w:rsid w:val="0095128B"/>
    <w:rsid w:val="00970587"/>
    <w:rsid w:val="00976C1D"/>
    <w:rsid w:val="009824B0"/>
    <w:rsid w:val="00992134"/>
    <w:rsid w:val="00993A98"/>
    <w:rsid w:val="009B17DF"/>
    <w:rsid w:val="009C0ACF"/>
    <w:rsid w:val="009C1ED2"/>
    <w:rsid w:val="00A00111"/>
    <w:rsid w:val="00A02DFA"/>
    <w:rsid w:val="00A151C2"/>
    <w:rsid w:val="00A26A59"/>
    <w:rsid w:val="00A526C9"/>
    <w:rsid w:val="00A6199A"/>
    <w:rsid w:val="00A80D53"/>
    <w:rsid w:val="00A8572E"/>
    <w:rsid w:val="00AA177F"/>
    <w:rsid w:val="00AC31BB"/>
    <w:rsid w:val="00AE1BD0"/>
    <w:rsid w:val="00AF4E29"/>
    <w:rsid w:val="00B11555"/>
    <w:rsid w:val="00B21158"/>
    <w:rsid w:val="00B30590"/>
    <w:rsid w:val="00B438F4"/>
    <w:rsid w:val="00B60BDB"/>
    <w:rsid w:val="00B83CBF"/>
    <w:rsid w:val="00B86871"/>
    <w:rsid w:val="00BA03EF"/>
    <w:rsid w:val="00BA3541"/>
    <w:rsid w:val="00BA65A5"/>
    <w:rsid w:val="00BB1F91"/>
    <w:rsid w:val="00BE342D"/>
    <w:rsid w:val="00BE7F84"/>
    <w:rsid w:val="00BF408A"/>
    <w:rsid w:val="00C06F2E"/>
    <w:rsid w:val="00C2135F"/>
    <w:rsid w:val="00C22E12"/>
    <w:rsid w:val="00C36979"/>
    <w:rsid w:val="00C44814"/>
    <w:rsid w:val="00C4693D"/>
    <w:rsid w:val="00C476AB"/>
    <w:rsid w:val="00C5676C"/>
    <w:rsid w:val="00C60A75"/>
    <w:rsid w:val="00C65B01"/>
    <w:rsid w:val="00C83611"/>
    <w:rsid w:val="00C974C3"/>
    <w:rsid w:val="00CA3AEB"/>
    <w:rsid w:val="00CB0C87"/>
    <w:rsid w:val="00CC10C1"/>
    <w:rsid w:val="00CC5346"/>
    <w:rsid w:val="00CC7419"/>
    <w:rsid w:val="00CD18A8"/>
    <w:rsid w:val="00CE3D9B"/>
    <w:rsid w:val="00D14268"/>
    <w:rsid w:val="00D173DA"/>
    <w:rsid w:val="00D542AF"/>
    <w:rsid w:val="00D76AAC"/>
    <w:rsid w:val="00D94C1A"/>
    <w:rsid w:val="00D97523"/>
    <w:rsid w:val="00DA2B6F"/>
    <w:rsid w:val="00DA3152"/>
    <w:rsid w:val="00DA4DE8"/>
    <w:rsid w:val="00DA6E13"/>
    <w:rsid w:val="00DC7C12"/>
    <w:rsid w:val="00DD0B8D"/>
    <w:rsid w:val="00DF48CC"/>
    <w:rsid w:val="00E1598D"/>
    <w:rsid w:val="00E2416E"/>
    <w:rsid w:val="00E30269"/>
    <w:rsid w:val="00E45017"/>
    <w:rsid w:val="00E60D18"/>
    <w:rsid w:val="00E612F9"/>
    <w:rsid w:val="00E71222"/>
    <w:rsid w:val="00E73AFD"/>
    <w:rsid w:val="00E91263"/>
    <w:rsid w:val="00EA4055"/>
    <w:rsid w:val="00EB4511"/>
    <w:rsid w:val="00EC27DB"/>
    <w:rsid w:val="00EC4953"/>
    <w:rsid w:val="00ED7AFB"/>
    <w:rsid w:val="00EF51E4"/>
    <w:rsid w:val="00F01134"/>
    <w:rsid w:val="00F173BD"/>
    <w:rsid w:val="00F20CB0"/>
    <w:rsid w:val="00F30469"/>
    <w:rsid w:val="00F3132E"/>
    <w:rsid w:val="00F54534"/>
    <w:rsid w:val="00F67CB8"/>
    <w:rsid w:val="00F77964"/>
    <w:rsid w:val="00F875F9"/>
    <w:rsid w:val="00F94C4E"/>
    <w:rsid w:val="00FC0058"/>
    <w:rsid w:val="00FC1633"/>
    <w:rsid w:val="00FD7616"/>
    <w:rsid w:val="00FE54F9"/>
    <w:rsid w:val="00FF2548"/>
    <w:rsid w:val="00FF7C0E"/>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C2FFE4"/>
  <w15:docId w15:val="{239F91B3-9D32-471F-8F74-3226FE0FF3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676919"/>
    <w:pPr>
      <w:spacing w:after="0" w:line="240" w:lineRule="auto"/>
    </w:pPr>
    <w:rPr>
      <w:rFonts w:ascii="Times New Roman" w:eastAsia="Times New Roman" w:hAnsi="Times New Roman" w:cs="Times New Roman"/>
      <w:sz w:val="24"/>
      <w:szCs w:val="24"/>
      <w:lang w:eastAsia="cs-CZ"/>
    </w:rPr>
  </w:style>
  <w:style w:type="paragraph" w:styleId="Nadpis4">
    <w:name w:val="heading 4"/>
    <w:basedOn w:val="Normln"/>
    <w:next w:val="Normln"/>
    <w:link w:val="Nadpis4Char"/>
    <w:uiPriority w:val="9"/>
    <w:semiHidden/>
    <w:unhideWhenUsed/>
    <w:qFormat/>
    <w:rsid w:val="00794F91"/>
    <w:pPr>
      <w:keepNext/>
      <w:keepLines/>
      <w:spacing w:before="200"/>
      <w:outlineLvl w:val="3"/>
    </w:pPr>
    <w:rPr>
      <w:rFonts w:asciiTheme="majorHAnsi" w:eastAsiaTheme="majorEastAsia" w:hAnsiTheme="majorHAnsi" w:cstheme="majorBidi"/>
      <w:b/>
      <w:bCs/>
      <w:i/>
      <w:iCs/>
      <w:color w:val="4F81BD" w:themeColor="accent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rsid w:val="00676919"/>
    <w:pPr>
      <w:tabs>
        <w:tab w:val="center" w:pos="4536"/>
        <w:tab w:val="right" w:pos="9072"/>
      </w:tabs>
    </w:pPr>
  </w:style>
  <w:style w:type="character" w:customStyle="1" w:styleId="ZhlavChar">
    <w:name w:val="Záhlaví Char"/>
    <w:basedOn w:val="Standardnpsmoodstavce"/>
    <w:link w:val="Zhlav"/>
    <w:uiPriority w:val="99"/>
    <w:rsid w:val="00676919"/>
    <w:rPr>
      <w:rFonts w:ascii="Times New Roman" w:eastAsia="Times New Roman" w:hAnsi="Times New Roman" w:cs="Times New Roman"/>
      <w:sz w:val="24"/>
      <w:szCs w:val="24"/>
      <w:lang w:eastAsia="cs-CZ"/>
    </w:rPr>
  </w:style>
  <w:style w:type="paragraph" w:styleId="Podnadpis">
    <w:name w:val="Subtitle"/>
    <w:basedOn w:val="Normln"/>
    <w:next w:val="Normln"/>
    <w:link w:val="PodnadpisChar"/>
    <w:uiPriority w:val="11"/>
    <w:qFormat/>
    <w:rsid w:val="00676919"/>
    <w:pPr>
      <w:spacing w:after="60"/>
      <w:jc w:val="center"/>
      <w:outlineLvl w:val="1"/>
    </w:pPr>
    <w:rPr>
      <w:rFonts w:ascii="Cambria" w:hAnsi="Cambria"/>
    </w:rPr>
  </w:style>
  <w:style w:type="character" w:customStyle="1" w:styleId="PodnadpisChar">
    <w:name w:val="Podnadpis Char"/>
    <w:basedOn w:val="Standardnpsmoodstavce"/>
    <w:link w:val="Podnadpis"/>
    <w:uiPriority w:val="11"/>
    <w:rsid w:val="00676919"/>
    <w:rPr>
      <w:rFonts w:ascii="Cambria" w:eastAsia="Times New Roman" w:hAnsi="Cambria" w:cs="Times New Roman"/>
      <w:sz w:val="24"/>
      <w:szCs w:val="24"/>
      <w:lang w:eastAsia="cs-CZ"/>
    </w:rPr>
  </w:style>
  <w:style w:type="paragraph" w:customStyle="1" w:styleId="Popisky">
    <w:name w:val="Popisky"/>
    <w:uiPriority w:val="99"/>
    <w:rsid w:val="00C65B01"/>
    <w:pPr>
      <w:spacing w:after="0" w:line="240" w:lineRule="auto"/>
    </w:pPr>
    <w:rPr>
      <w:rFonts w:ascii="Arial" w:eastAsia="Times New Roman" w:hAnsi="Arial" w:cs="Times New Roman"/>
      <w:sz w:val="20"/>
      <w:szCs w:val="20"/>
      <w:lang w:eastAsia="cs-CZ"/>
    </w:rPr>
  </w:style>
  <w:style w:type="paragraph" w:styleId="Textbubliny">
    <w:name w:val="Balloon Text"/>
    <w:basedOn w:val="Normln"/>
    <w:link w:val="TextbublinyChar"/>
    <w:uiPriority w:val="99"/>
    <w:semiHidden/>
    <w:unhideWhenUsed/>
    <w:rsid w:val="00390364"/>
    <w:rPr>
      <w:rFonts w:ascii="Tahoma" w:hAnsi="Tahoma" w:cs="Tahoma"/>
      <w:sz w:val="16"/>
      <w:szCs w:val="16"/>
    </w:rPr>
  </w:style>
  <w:style w:type="character" w:customStyle="1" w:styleId="TextbublinyChar">
    <w:name w:val="Text bubliny Char"/>
    <w:basedOn w:val="Standardnpsmoodstavce"/>
    <w:link w:val="Textbubliny"/>
    <w:uiPriority w:val="99"/>
    <w:semiHidden/>
    <w:rsid w:val="00390364"/>
    <w:rPr>
      <w:rFonts w:ascii="Tahoma" w:eastAsia="Times New Roman" w:hAnsi="Tahoma" w:cs="Tahoma"/>
      <w:sz w:val="16"/>
      <w:szCs w:val="16"/>
      <w:lang w:eastAsia="cs-CZ"/>
    </w:rPr>
  </w:style>
  <w:style w:type="character" w:styleId="Odkaznakoment">
    <w:name w:val="annotation reference"/>
    <w:basedOn w:val="Standardnpsmoodstavce"/>
    <w:uiPriority w:val="99"/>
    <w:semiHidden/>
    <w:unhideWhenUsed/>
    <w:rsid w:val="00435CFA"/>
    <w:rPr>
      <w:sz w:val="16"/>
      <w:szCs w:val="16"/>
    </w:rPr>
  </w:style>
  <w:style w:type="paragraph" w:styleId="Textkomente">
    <w:name w:val="annotation text"/>
    <w:basedOn w:val="Normln"/>
    <w:link w:val="TextkomenteChar"/>
    <w:uiPriority w:val="99"/>
    <w:semiHidden/>
    <w:unhideWhenUsed/>
    <w:rsid w:val="00435CFA"/>
    <w:rPr>
      <w:sz w:val="20"/>
      <w:szCs w:val="20"/>
    </w:rPr>
  </w:style>
  <w:style w:type="character" w:customStyle="1" w:styleId="TextkomenteChar">
    <w:name w:val="Text komentáře Char"/>
    <w:basedOn w:val="Standardnpsmoodstavce"/>
    <w:link w:val="Textkomente"/>
    <w:uiPriority w:val="99"/>
    <w:semiHidden/>
    <w:rsid w:val="00435CFA"/>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435CFA"/>
    <w:rPr>
      <w:b/>
      <w:bCs/>
    </w:rPr>
  </w:style>
  <w:style w:type="character" w:customStyle="1" w:styleId="PedmtkomenteChar">
    <w:name w:val="Předmět komentáře Char"/>
    <w:basedOn w:val="TextkomenteChar"/>
    <w:link w:val="Pedmtkomente"/>
    <w:uiPriority w:val="99"/>
    <w:semiHidden/>
    <w:rsid w:val="00435CFA"/>
    <w:rPr>
      <w:rFonts w:ascii="Times New Roman" w:eastAsia="Times New Roman" w:hAnsi="Times New Roman" w:cs="Times New Roman"/>
      <w:b/>
      <w:bCs/>
      <w:sz w:val="20"/>
      <w:szCs w:val="20"/>
      <w:lang w:eastAsia="cs-CZ"/>
    </w:rPr>
  </w:style>
  <w:style w:type="character" w:customStyle="1" w:styleId="Nadpis4Char">
    <w:name w:val="Nadpis 4 Char"/>
    <w:basedOn w:val="Standardnpsmoodstavce"/>
    <w:link w:val="Nadpis4"/>
    <w:uiPriority w:val="9"/>
    <w:semiHidden/>
    <w:rsid w:val="00794F91"/>
    <w:rPr>
      <w:rFonts w:asciiTheme="majorHAnsi" w:eastAsiaTheme="majorEastAsia" w:hAnsiTheme="majorHAnsi" w:cstheme="majorBidi"/>
      <w:b/>
      <w:bCs/>
      <w:i/>
      <w:iCs/>
      <w:color w:val="4F81BD" w:themeColor="accent1"/>
      <w:sz w:val="24"/>
      <w:szCs w:val="24"/>
      <w:lang w:eastAsia="cs-CZ"/>
    </w:rPr>
  </w:style>
  <w:style w:type="paragraph" w:styleId="Zpat">
    <w:name w:val="footer"/>
    <w:basedOn w:val="Normln"/>
    <w:link w:val="ZpatChar"/>
    <w:uiPriority w:val="99"/>
    <w:unhideWhenUsed/>
    <w:rsid w:val="00794F91"/>
    <w:pPr>
      <w:tabs>
        <w:tab w:val="center" w:pos="4536"/>
        <w:tab w:val="right" w:pos="9072"/>
      </w:tabs>
    </w:pPr>
  </w:style>
  <w:style w:type="character" w:customStyle="1" w:styleId="ZpatChar">
    <w:name w:val="Zápatí Char"/>
    <w:basedOn w:val="Standardnpsmoodstavce"/>
    <w:link w:val="Zpat"/>
    <w:uiPriority w:val="99"/>
    <w:rsid w:val="00794F91"/>
    <w:rPr>
      <w:rFonts w:ascii="Times New Roman" w:eastAsia="Times New Roman" w:hAnsi="Times New Roman" w:cs="Times New Roman"/>
      <w:sz w:val="24"/>
      <w:szCs w:val="24"/>
      <w:lang w:eastAsia="cs-CZ"/>
    </w:rPr>
  </w:style>
  <w:style w:type="paragraph" w:styleId="Odstavecseseznamem">
    <w:name w:val="List Paragraph"/>
    <w:basedOn w:val="Normln"/>
    <w:uiPriority w:val="34"/>
    <w:qFormat/>
    <w:rsid w:val="00AC31BB"/>
    <w:pPr>
      <w:ind w:left="720"/>
      <w:contextualSpacing/>
    </w:pPr>
  </w:style>
  <w:style w:type="paragraph" w:customStyle="1" w:styleId="DTlotextu1">
    <w:name w:val="D Tělo textu 1"/>
    <w:basedOn w:val="Normln"/>
    <w:uiPriority w:val="99"/>
    <w:qFormat/>
    <w:rsid w:val="000100CF"/>
    <w:pPr>
      <w:spacing w:before="120" w:after="120"/>
      <w:jc w:val="both"/>
    </w:pPr>
    <w:rPr>
      <w:rFonts w:ascii="Arial"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235163">
      <w:bodyDiv w:val="1"/>
      <w:marLeft w:val="0"/>
      <w:marRight w:val="0"/>
      <w:marTop w:val="0"/>
      <w:marBottom w:val="0"/>
      <w:divBdr>
        <w:top w:val="none" w:sz="0" w:space="0" w:color="auto"/>
        <w:left w:val="none" w:sz="0" w:space="0" w:color="auto"/>
        <w:bottom w:val="none" w:sz="0" w:space="0" w:color="auto"/>
        <w:right w:val="none" w:sz="0" w:space="0" w:color="auto"/>
      </w:divBdr>
    </w:div>
    <w:div w:id="8581588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TotalTime>
  <Pages>1</Pages>
  <Words>475</Words>
  <Characters>2807</Characters>
  <Application>Microsoft Office Word</Application>
  <DocSecurity>0</DocSecurity>
  <Lines>23</Lines>
  <Paragraphs>6</Paragraphs>
  <ScaleCrop>false</ScaleCrop>
  <HeadingPairs>
    <vt:vector size="2" baseType="variant">
      <vt:variant>
        <vt:lpstr>Název</vt:lpstr>
      </vt:variant>
      <vt:variant>
        <vt:i4>1</vt:i4>
      </vt:variant>
    </vt:vector>
  </HeadingPairs>
  <TitlesOfParts>
    <vt:vector size="1" baseType="lpstr">
      <vt:lpstr/>
    </vt:vector>
  </TitlesOfParts>
  <Company>Ministerstvo financí</Company>
  <LinksUpToDate>false</LinksUpToDate>
  <CharactersWithSpaces>3276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Janáčková Kateřina Ing. Mgr.</dc:creator>
  <cp:lastModifiedBy>Stibůrková Jana Mgr.</cp:lastModifiedBy>
  <cp:revision>8</cp:revision>
  <cp:lastPrinted>2019-03-07T13:14:00Z</cp:lastPrinted>
  <dcterms:created xsi:type="dcterms:W3CDTF">2024-01-29T08:28:00Z</dcterms:created>
  <dcterms:modified xsi:type="dcterms:W3CDTF">2024-02-01T11:44:00Z</dcterms:modified>
</cp:coreProperties>
</file>