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B8CA0" w14:textId="37D59069" w:rsidR="003C77F8" w:rsidRPr="005268EC" w:rsidRDefault="0028146F" w:rsidP="009C4E06">
      <w:pPr>
        <w:pStyle w:val="Nadpis2"/>
        <w:rPr>
          <w:sz w:val="32"/>
          <w:szCs w:val="32"/>
        </w:rPr>
      </w:pPr>
      <w:r>
        <w:rPr>
          <w:sz w:val="32"/>
          <w:szCs w:val="32"/>
        </w:rPr>
        <w:t>DŮVODOVÁ ZPRÁVA</w:t>
      </w:r>
    </w:p>
    <w:p w14:paraId="56AEC2C5" w14:textId="77777777" w:rsidR="003C77F8" w:rsidRPr="005268EC" w:rsidRDefault="003C77F8" w:rsidP="009C4E06">
      <w:pPr>
        <w:pStyle w:val="Nadpis2"/>
      </w:pPr>
      <w:r w:rsidRPr="005268EC">
        <w:t>I. Obecná část</w:t>
      </w:r>
    </w:p>
    <w:p w14:paraId="0972E7F2" w14:textId="77777777" w:rsidR="003C77F8" w:rsidRPr="005268EC" w:rsidRDefault="003C77F8" w:rsidP="009C4E06">
      <w:pPr>
        <w:pStyle w:val="Nadpis2"/>
        <w:keepNext w:val="0"/>
        <w:numPr>
          <w:ilvl w:val="0"/>
          <w:numId w:val="1"/>
        </w:numPr>
        <w:shd w:val="clear" w:color="auto" w:fill="FFFFFF"/>
        <w:spacing w:before="480"/>
        <w:ind w:hanging="720"/>
        <w:jc w:val="both"/>
        <w:rPr>
          <w:sz w:val="24"/>
          <w:szCs w:val="24"/>
        </w:rPr>
      </w:pPr>
      <w:r w:rsidRPr="005268EC">
        <w:rPr>
          <w:sz w:val="24"/>
          <w:szCs w:val="24"/>
        </w:rPr>
        <w:t>Vysvětlení nezbytnosti navrhované právní úpravy, odůvodnění jejích hlavních principů</w:t>
      </w:r>
    </w:p>
    <w:p w14:paraId="2DFA5A25" w14:textId="369E06D9" w:rsidR="0062408A" w:rsidRPr="0062408A" w:rsidRDefault="0062408A" w:rsidP="0062408A">
      <w:pPr>
        <w:spacing w:after="120"/>
        <w:jc w:val="both"/>
      </w:pPr>
      <w:r w:rsidRPr="0062408A">
        <w:t xml:space="preserve">Zákon č. 461/2024 Sb. </w:t>
      </w:r>
      <w:r>
        <w:t>zavádí s účinností od 1. července 202</w:t>
      </w:r>
      <w:r w:rsidR="008C742D">
        <w:t>5</w:t>
      </w:r>
      <w:r>
        <w:t xml:space="preserve"> </w:t>
      </w:r>
      <w:r w:rsidRPr="0062408A">
        <w:t>do zákona č. 235/2004 Sb., o</w:t>
      </w:r>
      <w:r>
        <w:t> </w:t>
      </w:r>
      <w:r w:rsidRPr="0062408A">
        <w:t xml:space="preserve">dani z přidané hodnoty, ve znění pozdějších předpisů (dále jen „zákon o </w:t>
      </w:r>
      <w:r>
        <w:t>dani z přidané hodnoty</w:t>
      </w:r>
      <w:r w:rsidRPr="0062408A">
        <w:t>“), změnu úpravy v oblasti nemovitých věcí a stavebnictví. Součástí této změny je i zmocňovací ustanovení pro Ministerstvo financí k vydání vyhlášky ohledně způsobu výpočtu podlahové plochy pro účely DPH</w:t>
      </w:r>
      <w:r w:rsidR="008C742D">
        <w:t xml:space="preserve"> (viz § 48a odst. 6 zákona o dani z přidané hodnoty)</w:t>
      </w:r>
      <w:r w:rsidRPr="0062408A">
        <w:t xml:space="preserve">. </w:t>
      </w:r>
      <w:r w:rsidR="008C742D">
        <w:t>Předmětnou vyhlášku je třeba vydat k datu účinnosti dané úpravy (k 1. červenci 2025)</w:t>
      </w:r>
      <w:r w:rsidRPr="0062408A">
        <w:t xml:space="preserve">, aby úprava v zákoně o </w:t>
      </w:r>
      <w:r w:rsidR="00EC1BEA">
        <w:t>dani z přidané hodnoty</w:t>
      </w:r>
      <w:r w:rsidR="00EC1BEA" w:rsidRPr="0062408A">
        <w:t xml:space="preserve"> </w:t>
      </w:r>
      <w:r w:rsidRPr="0062408A">
        <w:t>byla ucelená.</w:t>
      </w:r>
    </w:p>
    <w:p w14:paraId="7860FAF4" w14:textId="4DCDF190" w:rsidR="0062408A" w:rsidRDefault="0062408A" w:rsidP="00B67A50">
      <w:pPr>
        <w:spacing w:after="120"/>
        <w:jc w:val="both"/>
      </w:pPr>
      <w:r w:rsidRPr="00B67A50">
        <w:t xml:space="preserve">Stanovení výpočtu podlahové plochy </w:t>
      </w:r>
      <w:r w:rsidR="00C543DA">
        <w:t xml:space="preserve">v oblasti DPH </w:t>
      </w:r>
      <w:r w:rsidRPr="00B67A50">
        <w:t xml:space="preserve">je nezbytné </w:t>
      </w:r>
      <w:r w:rsidR="00C543DA">
        <w:t xml:space="preserve">(i) </w:t>
      </w:r>
      <w:r w:rsidRPr="00B67A50">
        <w:t xml:space="preserve">pro vymezení stavby pro sociální bydlení podle § 48a zákona o </w:t>
      </w:r>
      <w:r w:rsidR="008C742D">
        <w:t>dani z přidané hodnoty</w:t>
      </w:r>
      <w:r w:rsidR="00C543DA">
        <w:t xml:space="preserve"> a (ii) pro stanovení </w:t>
      </w:r>
      <w:r w:rsidR="008D439F">
        <w:t xml:space="preserve">podlahové plochy </w:t>
      </w:r>
      <w:r w:rsidR="00160538">
        <w:t xml:space="preserve">části stavby </w:t>
      </w:r>
      <w:r w:rsidR="008D439F">
        <w:t>pro určení, jakou výši sazby DPH aplikovat</w:t>
      </w:r>
      <w:r w:rsidR="00D83EBA">
        <w:t>, resp. jak stanovit základ daně</w:t>
      </w:r>
      <w:r w:rsidR="008D439F">
        <w:t xml:space="preserve"> (viz § 49 odst. 5</w:t>
      </w:r>
      <w:r w:rsidR="008D439F" w:rsidRPr="008D439F">
        <w:t xml:space="preserve"> </w:t>
      </w:r>
      <w:r w:rsidR="008D439F">
        <w:t xml:space="preserve">zákona o dani z přidané hodnoty), </w:t>
      </w:r>
      <w:r w:rsidR="00D83EBA">
        <w:t xml:space="preserve">a rovněž </w:t>
      </w:r>
      <w:r w:rsidR="008D439F">
        <w:t>pro možnost aplikace zdanění nájmu nemovité věci (viz § 56a odst. 5 písm. d) zákona o dani z přidané hodnoty)</w:t>
      </w:r>
      <w:r w:rsidRPr="00B67A50">
        <w:t>.</w:t>
      </w:r>
    </w:p>
    <w:p w14:paraId="0F1B665B" w14:textId="02F81F4F" w:rsidR="007A465E" w:rsidRDefault="007A465E" w:rsidP="00B67A50">
      <w:pPr>
        <w:spacing w:after="120"/>
        <w:jc w:val="both"/>
      </w:pPr>
      <w:r>
        <w:t xml:space="preserve">V případě vymezení stavby pro sociální bydlení se jedná </w:t>
      </w:r>
      <w:r w:rsidR="00B62A77">
        <w:t xml:space="preserve">o </w:t>
      </w:r>
      <w:r w:rsidR="00C80E7A">
        <w:t xml:space="preserve">(i) </w:t>
      </w:r>
      <w:r w:rsidR="004D59D5">
        <w:t>obytný prostor pro sociální bydlení s tím, že podlahová plocha obytného prostoru nesmí přesáhnout 120 m</w:t>
      </w:r>
      <w:r w:rsidR="004D59D5" w:rsidRPr="00B67A50">
        <w:rPr>
          <w:vertAlign w:val="superscript"/>
        </w:rPr>
        <w:t>2</w:t>
      </w:r>
      <w:r w:rsidR="004D59D5">
        <w:t xml:space="preserve"> (viz § 48a odst.</w:t>
      </w:r>
      <w:r w:rsidR="00D83EBA">
        <w:t> </w:t>
      </w:r>
      <w:r w:rsidR="004D59D5">
        <w:t>5 písm. a) zákona o dani z přidané hodnoty</w:t>
      </w:r>
      <w:r w:rsidR="00B62A77">
        <w:t>)</w:t>
      </w:r>
      <w:r w:rsidR="004D59D5">
        <w:t>, (ii)</w:t>
      </w:r>
      <w:r w:rsidR="00C80E7A">
        <w:t xml:space="preserve"> stavbu </w:t>
      </w:r>
      <w:r w:rsidR="00C80E7A" w:rsidRPr="00C80E7A">
        <w:t>rodinného domu, jejíž podlahová plocha nepřesahuje 350 m</w:t>
      </w:r>
      <w:r w:rsidR="00C80E7A" w:rsidRPr="00B67A50">
        <w:rPr>
          <w:vertAlign w:val="superscript"/>
        </w:rPr>
        <w:t>2</w:t>
      </w:r>
      <w:r w:rsidR="00C80E7A">
        <w:t xml:space="preserve"> (viz § 48a odst. 1 písm. b) zákona o dani z přidané hodnoty</w:t>
      </w:r>
      <w:r w:rsidR="00B62A77">
        <w:t>)</w:t>
      </w:r>
      <w:r w:rsidR="00C80E7A">
        <w:t>, (iii)</w:t>
      </w:r>
      <w:r w:rsidR="00EC1BEA">
        <w:t> </w:t>
      </w:r>
      <w:r w:rsidR="00065869">
        <w:t xml:space="preserve">stavbu bytového domu, </w:t>
      </w:r>
      <w:r w:rsidR="00065869" w:rsidRPr="00065869">
        <w:t>v níž je více než polovina podlahové plochy tvořena obytným prostorem pro sociální bydlení</w:t>
      </w:r>
      <w:r w:rsidR="00065869">
        <w:t xml:space="preserve"> (viz § 48a odst. 1 písm. a) ve spojení s odstavcem 5 zákona o dani z přidané hodnoty</w:t>
      </w:r>
      <w:r w:rsidR="00B62A77">
        <w:t>)</w:t>
      </w:r>
      <w:r w:rsidR="00065869">
        <w:t xml:space="preserve">, a (iv) </w:t>
      </w:r>
      <w:r w:rsidR="005474F9">
        <w:t>tzv. smíšenou stavbu z hlediska jejího využití podle § 48a odst.</w:t>
      </w:r>
      <w:r w:rsidR="00D83EBA">
        <w:t> </w:t>
      </w:r>
      <w:r w:rsidR="005474F9">
        <w:t xml:space="preserve">3 zákona o dani z přidané hodnoty, </w:t>
      </w:r>
      <w:r w:rsidR="00432B35">
        <w:t>v níž součet podlahové plochy prostorů užívaných pro sociální bydlení</w:t>
      </w:r>
      <w:r w:rsidR="00131891">
        <w:t xml:space="preserve"> (obytný prostor pro sociální bydlení a např. </w:t>
      </w:r>
      <w:r w:rsidR="00131891" w:rsidRPr="00131891">
        <w:t>zařízení sociálních služeb poskytující pobytové služby, speciální lůžková zařízení hospicového typu, zařízení pro děti vyžadující okamžitou pomoc, zařízení pro výkon pěstounské péče)</w:t>
      </w:r>
      <w:r w:rsidR="00131891">
        <w:t xml:space="preserve"> tvoří z hlediska velikosti podlahové plochy většinu.</w:t>
      </w:r>
    </w:p>
    <w:p w14:paraId="4539CE2C" w14:textId="22A669F4" w:rsidR="0062408A" w:rsidRPr="00B67A50" w:rsidRDefault="0062408A" w:rsidP="00B67A50">
      <w:pPr>
        <w:spacing w:after="120"/>
        <w:jc w:val="both"/>
      </w:pPr>
      <w:r w:rsidRPr="00B67A50">
        <w:t>Stanovení velikosti podlahové plochy je potřebné při posouzení splnění kritérií pro volitelné zdaňování nájmu nemovité věci (</w:t>
      </w:r>
      <w:r w:rsidR="00B62A77">
        <w:t>po</w:t>
      </w:r>
      <w:r w:rsidRPr="00B67A50">
        <w:t xml:space="preserve">dle § 56a odst. 5 písm. d) zákona o </w:t>
      </w:r>
      <w:r w:rsidR="008D439F">
        <w:t>dani z přidané hodnoty</w:t>
      </w:r>
      <w:r w:rsidRPr="00B67A50">
        <w:t>)</w:t>
      </w:r>
      <w:r w:rsidR="008D439F" w:rsidRPr="00FB2F77">
        <w:t>, které</w:t>
      </w:r>
      <w:r w:rsidRPr="00B67A50">
        <w:t xml:space="preserve"> není přípustné u nájmu stavby, v níž je alespoň 60 % podlahové plochy této stavby nebo části stavby</w:t>
      </w:r>
      <w:r w:rsidR="00C778E6">
        <w:t xml:space="preserve"> (</w:t>
      </w:r>
      <w:r w:rsidRPr="00B67A50">
        <w:t xml:space="preserve">je-li pronajímána </w:t>
      </w:r>
      <w:r w:rsidR="00C778E6">
        <w:t xml:space="preserve">pouze </w:t>
      </w:r>
      <w:r w:rsidRPr="00B67A50">
        <w:t>část</w:t>
      </w:r>
      <w:r w:rsidR="00C778E6">
        <w:t xml:space="preserve"> stavby)</w:t>
      </w:r>
      <w:r w:rsidRPr="00B67A50">
        <w:t xml:space="preserve"> tvořeno obytným prostorem</w:t>
      </w:r>
      <w:r w:rsidR="00C778E6">
        <w:t xml:space="preserve"> (k definici obytného prostoru viz § 48 odst. 5 zákona o dani z přidané hodnoty)</w:t>
      </w:r>
      <w:r w:rsidRPr="00B67A50">
        <w:t>.</w:t>
      </w:r>
    </w:p>
    <w:p w14:paraId="513492C3" w14:textId="2F832848" w:rsidR="00D83EBA" w:rsidRDefault="0062408A" w:rsidP="00B67A50">
      <w:pPr>
        <w:spacing w:after="120"/>
        <w:jc w:val="both"/>
      </w:pPr>
      <w:r w:rsidRPr="00B67A50">
        <w:t xml:space="preserve">Stanovení velikosti podlahové plochy je nezbytné </w:t>
      </w:r>
      <w:r w:rsidR="00C778E6">
        <w:t xml:space="preserve">rovněž </w:t>
      </w:r>
      <w:r w:rsidRPr="00B67A50">
        <w:t xml:space="preserve">při stanovení základu daně při poskytnutí stavebních nebo montážních prací u </w:t>
      </w:r>
      <w:r w:rsidR="00B62A77">
        <w:t xml:space="preserve">tzv. </w:t>
      </w:r>
      <w:r w:rsidRPr="00B67A50">
        <w:t xml:space="preserve">„smíšených staveb“, kdy podle § 49 odst. 5 zákona o </w:t>
      </w:r>
      <w:r w:rsidR="00B62A77">
        <w:t>dani z přidané hodnoty</w:t>
      </w:r>
      <w:r w:rsidR="00D83EBA">
        <w:t xml:space="preserve">. V těchto případech je zapotřebí </w:t>
      </w:r>
      <w:r w:rsidR="00D83EBA" w:rsidRPr="00D83EBA">
        <w:t>spočítat, jak velká je podlahová plocha prostorů/místností určených k bydlení nebo k sociálnímu bydlení a jak velká je tato podlahová plocha k celkové velikosti podlahové plochy dané stavby</w:t>
      </w:r>
      <w:r w:rsidR="00D83EBA">
        <w:t xml:space="preserve">. Tímto se stanoví </w:t>
      </w:r>
      <w:r w:rsidR="00D83EBA" w:rsidRPr="00D83EBA">
        <w:t xml:space="preserve">poměr, kterým se rozpočítá základ daně pro část stavby, která je společná jak pro bydlení/sociální bydlení, tak pro ostatní </w:t>
      </w:r>
      <w:r w:rsidR="00D83EBA">
        <w:t>části stavby</w:t>
      </w:r>
      <w:r w:rsidR="00D83EBA" w:rsidRPr="00D83EBA">
        <w:t>, které nenaplní definici stavby pro bydlení či stavby pro sociální bydlení (např. střecha, recepce domu, výtah).</w:t>
      </w:r>
    </w:p>
    <w:p w14:paraId="38C60620" w14:textId="4E854B58" w:rsidR="00C778E6" w:rsidRPr="00B67A50" w:rsidRDefault="00C778E6" w:rsidP="00C778E6">
      <w:pPr>
        <w:spacing w:after="120"/>
        <w:jc w:val="both"/>
      </w:pPr>
      <w:r>
        <w:t xml:space="preserve">Aby bylo možné sjednotit </w:t>
      </w:r>
      <w:r w:rsidRPr="001A5C23">
        <w:t>výpočet podlahové pl</w:t>
      </w:r>
      <w:r w:rsidR="00DE700E" w:rsidRPr="001A5C23">
        <w:t>o</w:t>
      </w:r>
      <w:r w:rsidRPr="00B67A50">
        <w:t>chy pro jednotlivé</w:t>
      </w:r>
      <w:r>
        <w:t xml:space="preserve"> stavby pro účely DPH, vychází se jednotně z principu, že podlahová plocha stavby nebo její části, v závislosti na tom, čeho podlahovou plochu stanovujeme (např. obytný prostor je v tomto kontextu typickým </w:t>
      </w:r>
      <w:r>
        <w:lastRenderedPageBreak/>
        <w:t>příkladem části stavby), se vypočte tak, že se sečte podlahová plocha místností a prostor</w:t>
      </w:r>
      <w:r w:rsidR="00B62A77">
        <w:t>ů</w:t>
      </w:r>
      <w:r>
        <w:t xml:space="preserve"> dané stavby nebo její části</w:t>
      </w:r>
      <w:r w:rsidR="00B37E13">
        <w:t xml:space="preserve">, </w:t>
      </w:r>
      <w:r w:rsidR="00EC1BEA">
        <w:t>jejíž podlahov</w:t>
      </w:r>
      <w:r w:rsidR="00B62A77">
        <w:t>á</w:t>
      </w:r>
      <w:r w:rsidR="00EC1BEA">
        <w:t xml:space="preserve"> ploch</w:t>
      </w:r>
      <w:r w:rsidR="00B62A77">
        <w:t>a</w:t>
      </w:r>
      <w:r w:rsidR="00EC1BEA">
        <w:t xml:space="preserve"> </w:t>
      </w:r>
      <w:r w:rsidR="00B62A77">
        <w:t xml:space="preserve">se </w:t>
      </w:r>
      <w:r w:rsidR="00EC1BEA">
        <w:t>stanov</w:t>
      </w:r>
      <w:r w:rsidR="00B62A77">
        <w:t>uje</w:t>
      </w:r>
      <w:r>
        <w:t>.</w:t>
      </w:r>
      <w:r w:rsidR="00B37E13">
        <w:t xml:space="preserve"> T</w:t>
      </w:r>
      <w:r w:rsidR="00B62A77">
        <w:t>a</w:t>
      </w:r>
      <w:r w:rsidR="00B37E13">
        <w:t>to podlahov</w:t>
      </w:r>
      <w:r w:rsidR="00B62A77">
        <w:t>á</w:t>
      </w:r>
      <w:r w:rsidR="00B37E13">
        <w:t xml:space="preserve"> ploch</w:t>
      </w:r>
      <w:r w:rsidR="00B62A77">
        <w:t>a</w:t>
      </w:r>
      <w:r w:rsidR="00B37E13">
        <w:t xml:space="preserve"> </w:t>
      </w:r>
      <w:r w:rsidR="00B62A77">
        <w:t xml:space="preserve">se </w:t>
      </w:r>
      <w:r w:rsidR="00B37E13">
        <w:t xml:space="preserve">vypočte skrze pravidla pro výpočet podlahové plochy místnosti, resp. prostoru stanovené v </w:t>
      </w:r>
      <w:r w:rsidR="00B51288">
        <w:t>návrhu</w:t>
      </w:r>
      <w:r w:rsidR="00B62A77">
        <w:t xml:space="preserve"> </w:t>
      </w:r>
      <w:r w:rsidR="00B37E13">
        <w:t>vyhláš</w:t>
      </w:r>
      <w:r w:rsidR="00B51288">
        <w:t>ky</w:t>
      </w:r>
      <w:r w:rsidR="00B37E13">
        <w:t>, která jsou pro místnosti a prostory stejná bez ohledu na typ stavby či její části. Kromě toho jsou pro všechny typy staveb stanoveny části, které se do podlahové plochy nezapočítávají.</w:t>
      </w:r>
    </w:p>
    <w:p w14:paraId="5FEE61B5" w14:textId="77777777" w:rsidR="003C77F8" w:rsidRPr="005268EC" w:rsidRDefault="003C77F8" w:rsidP="00C778E6">
      <w:pPr>
        <w:pStyle w:val="Nadpis2"/>
        <w:keepNext w:val="0"/>
        <w:numPr>
          <w:ilvl w:val="0"/>
          <w:numId w:val="1"/>
        </w:numPr>
        <w:shd w:val="clear" w:color="auto" w:fill="FFFFFF"/>
        <w:spacing w:before="480"/>
        <w:ind w:hanging="720"/>
        <w:jc w:val="both"/>
        <w:rPr>
          <w:sz w:val="24"/>
          <w:szCs w:val="24"/>
        </w:rPr>
      </w:pPr>
      <w:r w:rsidRPr="005268EC">
        <w:rPr>
          <w:sz w:val="24"/>
          <w:szCs w:val="24"/>
        </w:rPr>
        <w:t xml:space="preserve">Zhodnocení souladu navrhované právní úpravy se zákonem, </w:t>
      </w:r>
      <w:r w:rsidR="00284AB5" w:rsidRPr="005268EC">
        <w:rPr>
          <w:sz w:val="24"/>
          <w:szCs w:val="24"/>
        </w:rPr>
        <w:t>k </w:t>
      </w:r>
      <w:r w:rsidRPr="005268EC">
        <w:rPr>
          <w:sz w:val="24"/>
          <w:szCs w:val="24"/>
        </w:rPr>
        <w:t xml:space="preserve">jehož provedení je navržena, </w:t>
      </w:r>
      <w:r w:rsidR="00850C19" w:rsidRPr="005268EC">
        <w:rPr>
          <w:sz w:val="24"/>
          <w:szCs w:val="24"/>
        </w:rPr>
        <w:t xml:space="preserve">včetně souladu se zákonným zmocněním </w:t>
      </w:r>
      <w:r w:rsidR="00284AB5" w:rsidRPr="005268EC">
        <w:rPr>
          <w:sz w:val="24"/>
          <w:szCs w:val="24"/>
        </w:rPr>
        <w:t>k </w:t>
      </w:r>
      <w:r w:rsidR="00850C19" w:rsidRPr="005268EC">
        <w:rPr>
          <w:sz w:val="24"/>
          <w:szCs w:val="24"/>
        </w:rPr>
        <w:t>jejímu vydání</w:t>
      </w:r>
    </w:p>
    <w:p w14:paraId="5C03FD54" w14:textId="41E46656" w:rsidR="00121552" w:rsidRPr="005268EC" w:rsidRDefault="00A360CF" w:rsidP="009C4E06">
      <w:pPr>
        <w:spacing w:after="120"/>
        <w:jc w:val="both"/>
      </w:pPr>
      <w:r>
        <w:t xml:space="preserve">Ustanovení § 48a odst. 6 zákona o dani z přidané hodnoty účinné od 1. července 2025 obsahuje zmocňovací ustanovení pro Ministerstvo financí </w:t>
      </w:r>
      <w:r w:rsidR="00EF74B3">
        <w:t>k</w:t>
      </w:r>
      <w:r>
        <w:t xml:space="preserve"> vydání vyhlášky, která určí způsob výpočtu podlahové plochy pro účely daně z přidané hodnoty. Úprava </w:t>
      </w:r>
      <w:r w:rsidR="00B51288">
        <w:t xml:space="preserve">návrhu </w:t>
      </w:r>
      <w:r>
        <w:t>vyhlášky je v mantinelech tohoto zmocnění, proto je n</w:t>
      </w:r>
      <w:r w:rsidRPr="005268EC">
        <w:t>avrhovaná právní úprava v souladu se zákonem</w:t>
      </w:r>
      <w:r>
        <w:t xml:space="preserve"> </w:t>
      </w:r>
      <w:r w:rsidRPr="00B67A50">
        <w:t>o</w:t>
      </w:r>
      <w:r>
        <w:t> </w:t>
      </w:r>
      <w:r w:rsidRPr="00B67A50">
        <w:t>dani z přidané hodnoty</w:t>
      </w:r>
      <w:r w:rsidRPr="005268EC">
        <w:t>, k jehož provedení má být vydána. Návrh vyhlášky je rovněž v souladu s ústavním pořádkem České republiky. Vyhlášk</w:t>
      </w:r>
      <w:r>
        <w:t>ou</w:t>
      </w:r>
      <w:r w:rsidRPr="005268EC">
        <w:t xml:space="preserve"> upravená problematika není upravena mezinárodními smlouvami, kterými je Česká republika vázána a které byly vyhlášeny ve Sbírce zákonů, popřípadě ve Sbírce mezinárodních smluv.</w:t>
      </w:r>
    </w:p>
    <w:p w14:paraId="0D89943A" w14:textId="77777777" w:rsidR="00850C19" w:rsidRPr="005268EC" w:rsidRDefault="00850C19" w:rsidP="006E04B9">
      <w:pPr>
        <w:pStyle w:val="Nadpis2"/>
        <w:keepNext w:val="0"/>
        <w:numPr>
          <w:ilvl w:val="0"/>
          <w:numId w:val="1"/>
        </w:numPr>
        <w:shd w:val="clear" w:color="auto" w:fill="FFFFFF"/>
        <w:spacing w:before="480"/>
        <w:ind w:hanging="720"/>
        <w:jc w:val="both"/>
        <w:rPr>
          <w:sz w:val="24"/>
          <w:szCs w:val="24"/>
        </w:rPr>
      </w:pPr>
      <w:r w:rsidRPr="005268EC">
        <w:rPr>
          <w:sz w:val="24"/>
          <w:szCs w:val="24"/>
        </w:rPr>
        <w:t xml:space="preserve">Zhodnocení souladu navrhované právní úpravy </w:t>
      </w:r>
      <w:r w:rsidR="00284AB5" w:rsidRPr="005268EC">
        <w:rPr>
          <w:sz w:val="24"/>
          <w:szCs w:val="24"/>
        </w:rPr>
        <w:t>s </w:t>
      </w:r>
      <w:r w:rsidRPr="005268EC">
        <w:rPr>
          <w:sz w:val="24"/>
          <w:szCs w:val="24"/>
        </w:rPr>
        <w:t>předpisy Evropské unie, judikaturou soudních orgánů Evropské unie nebo obecnými právními zásadami práva Evropské unie</w:t>
      </w:r>
    </w:p>
    <w:p w14:paraId="335089FB" w14:textId="1121DE6C" w:rsidR="001627E9" w:rsidRPr="00B67A50" w:rsidRDefault="001627E9" w:rsidP="00B67A50">
      <w:pPr>
        <w:widowControl w:val="0"/>
        <w:spacing w:after="120"/>
        <w:jc w:val="both"/>
      </w:pPr>
      <w:r w:rsidRPr="00E31DE9">
        <w:t>Navrhovaná právní úprava je plně slučitelná s právem Evropské unie a ustanovení navrhované právní úpravy nezakládají rozpor s právem Evropské unie ve světle ustálené judikatury Soudního dvora Evropské unie</w:t>
      </w:r>
      <w:r>
        <w:t xml:space="preserve">. </w:t>
      </w:r>
      <w:r w:rsidR="00BD644F">
        <w:t>Způsob určení v</w:t>
      </w:r>
      <w:r w:rsidR="00BD644F" w:rsidRPr="00B67A50">
        <w:t>elikosti</w:t>
      </w:r>
      <w:r w:rsidRPr="00B67A50">
        <w:t xml:space="preserve"> podlahové plochy, resp. vzájemné poměřování podlahových ploch určitých staveb a prostorů</w:t>
      </w:r>
      <w:r w:rsidR="00BD644F" w:rsidRPr="00B67A50">
        <w:t>, pouze rozvíjí úpravu zákona o dani z přidané hodnoty. V souladu s harmonizovanou úpravou systému DPH je na členských státech, jak či zda danou úpravu provedou do svého národního právního řádu.</w:t>
      </w:r>
      <w:r w:rsidRPr="00B67A50">
        <w:t xml:space="preserve"> </w:t>
      </w:r>
      <w:r w:rsidR="007961C5">
        <w:t>V prvé řadě se jedná o </w:t>
      </w:r>
      <w:r w:rsidR="00BD644F" w:rsidRPr="00B67A50">
        <w:t>aplikaci snížené sazby DPH, která vychází z</w:t>
      </w:r>
      <w:r w:rsidRPr="00B67A50">
        <w:t> bodu 10</w:t>
      </w:r>
      <w:r w:rsidR="00CE7699">
        <w:t xml:space="preserve"> a 10a</w:t>
      </w:r>
      <w:r w:rsidRPr="00B67A50">
        <w:t xml:space="preserve"> přílohy III ve vazbě na čl.</w:t>
      </w:r>
      <w:r w:rsidR="00BD644F">
        <w:t> </w:t>
      </w:r>
      <w:r w:rsidRPr="00B67A50">
        <w:t>98 odst. 1 směrnice Rady 2006/112/ES, ze dne 28. listopadu 2006, o společném sys</w:t>
      </w:r>
      <w:r w:rsidR="009F5493">
        <w:t>tému daně z </w:t>
      </w:r>
      <w:r w:rsidRPr="00B67A50">
        <w:t>přidané hodnoty</w:t>
      </w:r>
      <w:r w:rsidR="00CE7699">
        <w:t xml:space="preserve"> (dále jen „směrnice o dani z přidané hodnoty“). </w:t>
      </w:r>
      <w:r w:rsidRPr="00B67A50">
        <w:t xml:space="preserve">V případě volitelného zdaňování nájmu nemovité věci </w:t>
      </w:r>
      <w:r w:rsidR="00CE7699">
        <w:t>se</w:t>
      </w:r>
      <w:r w:rsidRPr="00B67A50">
        <w:t xml:space="preserve"> vychází z čl</w:t>
      </w:r>
      <w:r w:rsidR="00CE7699">
        <w:t>ánku</w:t>
      </w:r>
      <w:r w:rsidRPr="00B67A50">
        <w:t xml:space="preserve"> 137 odst. 1 písm. d) a odst. 2 směrnice </w:t>
      </w:r>
      <w:r w:rsidR="00CE7699">
        <w:t>o</w:t>
      </w:r>
      <w:r w:rsidR="00B51288">
        <w:t> </w:t>
      </w:r>
      <w:r w:rsidR="00CE7699">
        <w:t>dani z přidané hodnoty.</w:t>
      </w:r>
    </w:p>
    <w:p w14:paraId="500BE0A4" w14:textId="77777777" w:rsidR="00A11C61" w:rsidRPr="005268EC" w:rsidRDefault="00A11C61" w:rsidP="009C4E06">
      <w:pPr>
        <w:widowControl w:val="0"/>
        <w:spacing w:after="120"/>
        <w:jc w:val="both"/>
      </w:pPr>
      <w:r w:rsidRPr="005268EC">
        <w:rPr>
          <w:rFonts w:eastAsia="Calibri"/>
          <w:lang w:eastAsia="en-US"/>
        </w:rPr>
        <w:t>Navržená úprava není v rozporu s Úmluvou o ochraně osob se zřetelem na automatizované zpracování osobních dat (vyhlášené pod č. 115/2001 Sb. m. s.), nařízením Evropského parlamentu a Rady (EU) 2016/679 ze dne 27. dubna 2016 o ochraně fyzických osob v souvislosti se zpracováním osobních údajů a o volném pohybu těchto údajů a o zrušení směrnice 95/46/ES (obecné nařízení o ochraně osobních údajů), zákonem č. 110/2019 Sb., o zpracování osobních údajů, ani s úpravou ochrany soukromí v zákoně č. 89/2012 Sb., občanský zákoník.</w:t>
      </w:r>
    </w:p>
    <w:p w14:paraId="3DBAB806" w14:textId="77777777" w:rsidR="00850C19" w:rsidRPr="005268EC" w:rsidRDefault="00850C19" w:rsidP="006E04B9">
      <w:pPr>
        <w:pStyle w:val="Nadpis2"/>
        <w:keepNext w:val="0"/>
        <w:numPr>
          <w:ilvl w:val="0"/>
          <w:numId w:val="1"/>
        </w:numPr>
        <w:shd w:val="clear" w:color="auto" w:fill="FFFFFF"/>
        <w:spacing w:before="480"/>
        <w:ind w:hanging="720"/>
        <w:jc w:val="both"/>
        <w:rPr>
          <w:sz w:val="24"/>
          <w:szCs w:val="24"/>
        </w:rPr>
      </w:pPr>
      <w:r w:rsidRPr="005268EC">
        <w:rPr>
          <w:sz w:val="24"/>
          <w:szCs w:val="24"/>
        </w:rPr>
        <w:t xml:space="preserve">Zhodnocení platného právního stavu </w:t>
      </w:r>
      <w:r w:rsidR="00284AB5" w:rsidRPr="005268EC">
        <w:rPr>
          <w:sz w:val="24"/>
          <w:szCs w:val="24"/>
        </w:rPr>
        <w:t>a </w:t>
      </w:r>
      <w:r w:rsidRPr="005268EC">
        <w:rPr>
          <w:sz w:val="24"/>
          <w:szCs w:val="24"/>
        </w:rPr>
        <w:t>odůvodnění nezbytnosti jeho změny</w:t>
      </w:r>
    </w:p>
    <w:p w14:paraId="47214CAC" w14:textId="395B4C05" w:rsidR="00A360CF" w:rsidRPr="005268EC" w:rsidRDefault="00A360CF" w:rsidP="00A360CF">
      <w:pPr>
        <w:widowControl w:val="0"/>
        <w:spacing w:after="120"/>
        <w:jc w:val="both"/>
      </w:pPr>
      <w:r w:rsidRPr="00A360CF">
        <w:t xml:space="preserve">V současné době není </w:t>
      </w:r>
      <w:r w:rsidR="00C0082B">
        <w:t xml:space="preserve">způsob </w:t>
      </w:r>
      <w:r w:rsidRPr="00A360CF">
        <w:t>výpočt</w:t>
      </w:r>
      <w:r w:rsidR="00C0082B">
        <w:t>u</w:t>
      </w:r>
      <w:r w:rsidRPr="00A360CF">
        <w:t xml:space="preserve"> podlahové plochy </w:t>
      </w:r>
      <w:r w:rsidR="00C0082B">
        <w:t>pro účely DPH stanoven právním předpisem</w:t>
      </w:r>
      <w:r w:rsidR="00F740F3">
        <w:t>, ale</w:t>
      </w:r>
      <w:r w:rsidRPr="00A360CF">
        <w:t xml:space="preserve"> </w:t>
      </w:r>
      <w:r w:rsidR="00F740F3" w:rsidRPr="00A360CF">
        <w:t>Informac</w:t>
      </w:r>
      <w:r w:rsidR="00F740F3">
        <w:t>í</w:t>
      </w:r>
      <w:r w:rsidR="00F740F3" w:rsidRPr="00A360CF">
        <w:t xml:space="preserve"> </w:t>
      </w:r>
      <w:r w:rsidRPr="00A360CF">
        <w:t>G</w:t>
      </w:r>
      <w:r w:rsidR="00C0082B">
        <w:t>enerálního finančního ředitelství</w:t>
      </w:r>
      <w:r w:rsidRPr="00A360CF">
        <w:t xml:space="preserve"> k</w:t>
      </w:r>
      <w:r w:rsidR="00C0082B">
        <w:t> </w:t>
      </w:r>
      <w:r w:rsidRPr="00A360CF">
        <w:t>uplat</w:t>
      </w:r>
      <w:r w:rsidR="007961C5">
        <w:t>ňování zákona o DPH u </w:t>
      </w:r>
      <w:r w:rsidRPr="00A360CF">
        <w:t>nemovitých věcí po 1. 1. 2016 (dále též „Informace GFŘ</w:t>
      </w:r>
      <w:r w:rsidR="00B51288">
        <w:t>“</w:t>
      </w:r>
      <w:r w:rsidRPr="00A360CF">
        <w:t xml:space="preserve">). </w:t>
      </w:r>
      <w:r w:rsidR="00F740F3">
        <w:t xml:space="preserve">S ohledem </w:t>
      </w:r>
      <w:r w:rsidR="00C0082B">
        <w:t>na významný vliv, který s</w:t>
      </w:r>
      <w:r w:rsidR="00C0082B" w:rsidRPr="00A360CF">
        <w:t>tanovení podlahové plochy</w:t>
      </w:r>
      <w:r w:rsidR="00C0082B">
        <w:t xml:space="preserve"> pro uplatňování DPH</w:t>
      </w:r>
      <w:r w:rsidR="00C0082B" w:rsidRPr="00A360CF">
        <w:t xml:space="preserve"> má</w:t>
      </w:r>
      <w:r w:rsidR="00C0082B">
        <w:t xml:space="preserve">, je </w:t>
      </w:r>
      <w:r w:rsidR="00DC2CC2">
        <w:t xml:space="preserve">primárním </w:t>
      </w:r>
      <w:r w:rsidR="00C0082B">
        <w:t>cílem n</w:t>
      </w:r>
      <w:r w:rsidRPr="00A360CF">
        <w:t>avrhovan</w:t>
      </w:r>
      <w:r w:rsidR="00C0082B">
        <w:t>é</w:t>
      </w:r>
      <w:r w:rsidRPr="00A360CF">
        <w:t xml:space="preserve"> vyhlášk</w:t>
      </w:r>
      <w:r w:rsidR="00C0082B">
        <w:t xml:space="preserve">y převzít </w:t>
      </w:r>
      <w:r w:rsidRPr="00A360CF">
        <w:t xml:space="preserve">pravidla </w:t>
      </w:r>
      <w:r w:rsidR="00C0082B">
        <w:t>z</w:t>
      </w:r>
      <w:r w:rsidR="00F740F3">
        <w:t> </w:t>
      </w:r>
      <w:r w:rsidRPr="00A360CF">
        <w:t xml:space="preserve">Informace GFŘ </w:t>
      </w:r>
      <w:r w:rsidR="00C0082B">
        <w:t>do normativního textu</w:t>
      </w:r>
      <w:r w:rsidR="00DC2CC2">
        <w:t>. Při této příležitosti je cílem rovněž</w:t>
      </w:r>
      <w:r w:rsidRPr="00A360CF">
        <w:t xml:space="preserve"> sjednocení rozdílného počítání podlahové plochy v</w:t>
      </w:r>
      <w:r w:rsidR="00DC2CC2">
        <w:t> situacích</w:t>
      </w:r>
      <w:r w:rsidRPr="00A360CF">
        <w:t xml:space="preserve">, kdy tento rozdíl </w:t>
      </w:r>
      <w:r w:rsidR="00DC2CC2" w:rsidRPr="00A360CF">
        <w:t xml:space="preserve">není </w:t>
      </w:r>
      <w:r w:rsidRPr="00A360CF">
        <w:lastRenderedPageBreak/>
        <w:t>odůvodněný</w:t>
      </w:r>
      <w:r w:rsidR="00DC2CC2">
        <w:t xml:space="preserve"> (např. aby v situaci, kdy dochází k poměřování staveb a jejich částí</w:t>
      </w:r>
      <w:r w:rsidRPr="00A360CF">
        <w:t xml:space="preserve">, </w:t>
      </w:r>
      <w:r w:rsidR="00DC2CC2">
        <w:t>se použily stejné metody výpočtu)</w:t>
      </w:r>
      <w:r w:rsidRPr="00A360CF">
        <w:t xml:space="preserve">. </w:t>
      </w:r>
    </w:p>
    <w:p w14:paraId="48DDBADF" w14:textId="65AFBAEA" w:rsidR="003C77F8" w:rsidRPr="005268EC" w:rsidRDefault="003C77F8" w:rsidP="006E04B9">
      <w:pPr>
        <w:pStyle w:val="Nadpis2"/>
        <w:keepNext w:val="0"/>
        <w:numPr>
          <w:ilvl w:val="0"/>
          <w:numId w:val="1"/>
        </w:numPr>
        <w:shd w:val="clear" w:color="auto" w:fill="FFFFFF"/>
        <w:spacing w:before="480"/>
        <w:ind w:hanging="720"/>
        <w:jc w:val="both"/>
        <w:rPr>
          <w:sz w:val="24"/>
          <w:szCs w:val="24"/>
        </w:rPr>
      </w:pPr>
      <w:r w:rsidRPr="005268EC">
        <w:rPr>
          <w:sz w:val="24"/>
          <w:szCs w:val="24"/>
        </w:rPr>
        <w:t xml:space="preserve">Předpokládaný hospodářský </w:t>
      </w:r>
      <w:r w:rsidR="00284AB5" w:rsidRPr="005268EC">
        <w:rPr>
          <w:sz w:val="24"/>
          <w:szCs w:val="24"/>
        </w:rPr>
        <w:t>a </w:t>
      </w:r>
      <w:r w:rsidRPr="005268EC">
        <w:rPr>
          <w:sz w:val="24"/>
          <w:szCs w:val="24"/>
        </w:rPr>
        <w:t>finanční do</w:t>
      </w:r>
      <w:r w:rsidR="00AB6802" w:rsidRPr="005268EC">
        <w:rPr>
          <w:sz w:val="24"/>
          <w:szCs w:val="24"/>
        </w:rPr>
        <w:t>p</w:t>
      </w:r>
      <w:r w:rsidRPr="005268EC">
        <w:rPr>
          <w:sz w:val="24"/>
          <w:szCs w:val="24"/>
        </w:rPr>
        <w:t>a</w:t>
      </w:r>
      <w:r w:rsidR="00AB6802" w:rsidRPr="005268EC">
        <w:rPr>
          <w:sz w:val="24"/>
          <w:szCs w:val="24"/>
        </w:rPr>
        <w:t>d</w:t>
      </w:r>
      <w:r w:rsidRPr="005268EC">
        <w:rPr>
          <w:sz w:val="24"/>
          <w:szCs w:val="24"/>
        </w:rPr>
        <w:t xml:space="preserve"> navrhované právní úpravy</w:t>
      </w:r>
      <w:r w:rsidR="00850C19" w:rsidRPr="005268EC">
        <w:rPr>
          <w:sz w:val="24"/>
          <w:szCs w:val="24"/>
        </w:rPr>
        <w:t xml:space="preserve"> na státní rozpočet, ostatní veřejné rozpočty</w:t>
      </w:r>
      <w:r w:rsidR="00FC70E3" w:rsidRPr="005268EC">
        <w:rPr>
          <w:sz w:val="24"/>
          <w:szCs w:val="24"/>
        </w:rPr>
        <w:t xml:space="preserve"> </w:t>
      </w:r>
      <w:r w:rsidR="00E574E6" w:rsidRPr="005268EC">
        <w:rPr>
          <w:sz w:val="24"/>
          <w:szCs w:val="24"/>
        </w:rPr>
        <w:t>a </w:t>
      </w:r>
      <w:r w:rsidR="00850C19" w:rsidRPr="005268EC">
        <w:rPr>
          <w:sz w:val="24"/>
          <w:szCs w:val="24"/>
        </w:rPr>
        <w:t>na podnikatelské prostředí České republiky</w:t>
      </w:r>
    </w:p>
    <w:p w14:paraId="7D56E815" w14:textId="066B9ED2" w:rsidR="003761D6" w:rsidRPr="005268EC" w:rsidRDefault="003C77F8" w:rsidP="00362637">
      <w:pPr>
        <w:keepNext/>
        <w:keepLines/>
        <w:tabs>
          <w:tab w:val="left" w:pos="6660"/>
        </w:tabs>
        <w:spacing w:after="120"/>
        <w:jc w:val="both"/>
      </w:pPr>
      <w:r w:rsidRPr="005268EC">
        <w:t>S realizací návrhu</w:t>
      </w:r>
      <w:r w:rsidR="001E0A05" w:rsidRPr="005268EC">
        <w:t xml:space="preserve"> </w:t>
      </w:r>
      <w:r w:rsidR="00444721" w:rsidRPr="005268EC">
        <w:t>vyhláš</w:t>
      </w:r>
      <w:r w:rsidR="0081604E" w:rsidRPr="005268EC">
        <w:t>ky</w:t>
      </w:r>
      <w:r w:rsidR="005764A6" w:rsidRPr="005268EC">
        <w:t xml:space="preserve"> </w:t>
      </w:r>
      <w:r w:rsidR="003D3CF4">
        <w:t xml:space="preserve">se nepředpokládají </w:t>
      </w:r>
      <w:r w:rsidR="007D4C97" w:rsidRPr="005268EC">
        <w:t>samostatné</w:t>
      </w:r>
      <w:r w:rsidRPr="005268EC">
        <w:t xml:space="preserve"> nároky na</w:t>
      </w:r>
      <w:r w:rsidR="007D4C97" w:rsidRPr="005268EC">
        <w:t> </w:t>
      </w:r>
      <w:r w:rsidRPr="005268EC">
        <w:t>státní rozpočet</w:t>
      </w:r>
      <w:r w:rsidR="005455AF" w:rsidRPr="005268EC">
        <w:t xml:space="preserve"> ani</w:t>
      </w:r>
      <w:r w:rsidRPr="005268EC">
        <w:t xml:space="preserve"> </w:t>
      </w:r>
      <w:r w:rsidR="00062975" w:rsidRPr="005268EC">
        <w:t>na </w:t>
      </w:r>
      <w:r w:rsidR="00244711" w:rsidRPr="005268EC">
        <w:t>ostatní veřejné rozpočty. N</w:t>
      </w:r>
      <w:r w:rsidR="005455AF" w:rsidRPr="005268EC">
        <w:t xml:space="preserve">ávrh vyhlášky </w:t>
      </w:r>
      <w:r w:rsidR="003761D6" w:rsidRPr="005268EC">
        <w:t xml:space="preserve">dále nemá </w:t>
      </w:r>
      <w:r w:rsidR="007E60D8" w:rsidRPr="005268EC">
        <w:t xml:space="preserve">samostatné </w:t>
      </w:r>
      <w:r w:rsidR="003761D6" w:rsidRPr="005268EC">
        <w:t xml:space="preserve">dopady, </w:t>
      </w:r>
      <w:r w:rsidR="00637554" w:rsidRPr="005268EC">
        <w:t>a </w:t>
      </w:r>
      <w:r w:rsidR="003761D6" w:rsidRPr="005268EC">
        <w:t xml:space="preserve">to včetně dopadů </w:t>
      </w:r>
      <w:r w:rsidR="00AE31DF" w:rsidRPr="005268EC">
        <w:t>na podnikatelské prostředí</w:t>
      </w:r>
      <w:r w:rsidR="00571341" w:rsidRPr="005268EC">
        <w:t xml:space="preserve"> České republiky</w:t>
      </w:r>
      <w:r w:rsidR="003761D6" w:rsidRPr="005268EC">
        <w:t>.</w:t>
      </w:r>
    </w:p>
    <w:p w14:paraId="4EC55421" w14:textId="5E765AD2" w:rsidR="009F408A" w:rsidRPr="005268EC" w:rsidRDefault="009F408A" w:rsidP="006E04B9">
      <w:pPr>
        <w:pStyle w:val="Nadpis2"/>
        <w:keepNext w:val="0"/>
        <w:numPr>
          <w:ilvl w:val="0"/>
          <w:numId w:val="1"/>
        </w:numPr>
        <w:shd w:val="clear" w:color="auto" w:fill="FFFFFF"/>
        <w:spacing w:before="480"/>
        <w:ind w:hanging="720"/>
        <w:jc w:val="both"/>
        <w:rPr>
          <w:sz w:val="24"/>
          <w:szCs w:val="24"/>
        </w:rPr>
      </w:pPr>
      <w:r w:rsidRPr="005268EC">
        <w:rPr>
          <w:sz w:val="24"/>
          <w:szCs w:val="24"/>
        </w:rPr>
        <w:t>Zhodnocení sociálních dopadů, včetně dopadů na specifické skupiny obyvatel, zejména na osoby sociálně slabé, osoby se zdravotním postižením a národnostní menšiny,</w:t>
      </w:r>
      <w:r w:rsidRPr="005268EC" w:rsidDel="00623956">
        <w:rPr>
          <w:sz w:val="24"/>
          <w:szCs w:val="24"/>
        </w:rPr>
        <w:t xml:space="preserve"> </w:t>
      </w:r>
      <w:r w:rsidRPr="005268EC">
        <w:rPr>
          <w:sz w:val="24"/>
          <w:szCs w:val="24"/>
        </w:rPr>
        <w:t>dopadů na ochranu práv dětí a dopadů na životní prostředí</w:t>
      </w:r>
    </w:p>
    <w:p w14:paraId="0339475D" w14:textId="4C9455D0" w:rsidR="009F408A" w:rsidRPr="005268EC" w:rsidRDefault="009F408A" w:rsidP="009C4E06">
      <w:pPr>
        <w:tabs>
          <w:tab w:val="left" w:pos="6660"/>
        </w:tabs>
        <w:spacing w:after="120"/>
        <w:jc w:val="both"/>
      </w:pPr>
      <w:r w:rsidRPr="005268EC">
        <w:t xml:space="preserve">S realizací návrhu vyhlášky </w:t>
      </w:r>
      <w:r w:rsidR="003D3CF4">
        <w:t xml:space="preserve">se nepředpokládají </w:t>
      </w:r>
      <w:r w:rsidRPr="005268EC">
        <w:t>samostatné sociální dopady, a to včetně dopadů na specifické skupiny obyvatel (např. osoby sociálně slabé, osoby se zdravotním postižením a národnostní menšiny), a nemá ani dopady na ochranu práv dětí a na životní prostředí.</w:t>
      </w:r>
    </w:p>
    <w:p w14:paraId="7D8B52E3" w14:textId="77777777" w:rsidR="003C77F8" w:rsidRPr="005268EC" w:rsidRDefault="003C77F8" w:rsidP="006E04B9">
      <w:pPr>
        <w:pStyle w:val="Nadpis2"/>
        <w:keepNext w:val="0"/>
        <w:numPr>
          <w:ilvl w:val="0"/>
          <w:numId w:val="1"/>
        </w:numPr>
        <w:shd w:val="clear" w:color="auto" w:fill="FFFFFF"/>
        <w:spacing w:before="480"/>
        <w:ind w:hanging="720"/>
        <w:jc w:val="both"/>
        <w:rPr>
          <w:sz w:val="24"/>
          <w:szCs w:val="24"/>
        </w:rPr>
      </w:pPr>
      <w:r w:rsidRPr="005268EC">
        <w:rPr>
          <w:sz w:val="24"/>
          <w:szCs w:val="24"/>
        </w:rPr>
        <w:t xml:space="preserve">Zhodnocení současného stavu </w:t>
      </w:r>
      <w:r w:rsidR="00284AB5" w:rsidRPr="005268EC">
        <w:rPr>
          <w:sz w:val="24"/>
          <w:szCs w:val="24"/>
        </w:rPr>
        <w:t>a </w:t>
      </w:r>
      <w:r w:rsidRPr="005268EC">
        <w:rPr>
          <w:sz w:val="24"/>
          <w:szCs w:val="24"/>
        </w:rPr>
        <w:t xml:space="preserve">dopadů navrhovaného řešení ve vztahu </w:t>
      </w:r>
      <w:r w:rsidR="00284AB5" w:rsidRPr="005268EC">
        <w:rPr>
          <w:sz w:val="24"/>
          <w:szCs w:val="24"/>
        </w:rPr>
        <w:t>k </w:t>
      </w:r>
      <w:r w:rsidRPr="005268EC">
        <w:rPr>
          <w:sz w:val="24"/>
          <w:szCs w:val="24"/>
        </w:rPr>
        <w:t>zákazu diskriminace</w:t>
      </w:r>
      <w:r w:rsidR="00623956" w:rsidRPr="005268EC">
        <w:rPr>
          <w:sz w:val="24"/>
          <w:szCs w:val="24"/>
        </w:rPr>
        <w:t xml:space="preserve"> </w:t>
      </w:r>
      <w:r w:rsidR="00284AB5" w:rsidRPr="005268EC">
        <w:rPr>
          <w:sz w:val="24"/>
          <w:szCs w:val="24"/>
        </w:rPr>
        <w:t>a </w:t>
      </w:r>
      <w:r w:rsidR="00623956" w:rsidRPr="005268EC">
        <w:rPr>
          <w:sz w:val="24"/>
          <w:szCs w:val="24"/>
        </w:rPr>
        <w:t xml:space="preserve">ve vztahu </w:t>
      </w:r>
      <w:r w:rsidR="00284AB5" w:rsidRPr="005268EC">
        <w:rPr>
          <w:sz w:val="24"/>
          <w:szCs w:val="24"/>
        </w:rPr>
        <w:t>k </w:t>
      </w:r>
      <w:r w:rsidR="00623956" w:rsidRPr="005268EC">
        <w:rPr>
          <w:sz w:val="24"/>
          <w:szCs w:val="24"/>
        </w:rPr>
        <w:t xml:space="preserve">rovnosti mužů </w:t>
      </w:r>
      <w:r w:rsidR="00284AB5" w:rsidRPr="005268EC">
        <w:rPr>
          <w:sz w:val="24"/>
          <w:szCs w:val="24"/>
        </w:rPr>
        <w:t>a </w:t>
      </w:r>
      <w:r w:rsidR="00623956" w:rsidRPr="005268EC">
        <w:rPr>
          <w:sz w:val="24"/>
          <w:szCs w:val="24"/>
        </w:rPr>
        <w:t>žen</w:t>
      </w:r>
    </w:p>
    <w:p w14:paraId="64F7CC7E" w14:textId="77777777" w:rsidR="003C77F8" w:rsidRPr="005268EC" w:rsidRDefault="003C77F8" w:rsidP="009C4E06">
      <w:pPr>
        <w:widowControl w:val="0"/>
        <w:spacing w:after="120"/>
        <w:jc w:val="both"/>
        <w:rPr>
          <w:rFonts w:eastAsia="Calibri"/>
          <w:lang w:eastAsia="en-US"/>
        </w:rPr>
      </w:pPr>
      <w:r w:rsidRPr="005268EC">
        <w:rPr>
          <w:rFonts w:eastAsia="Calibri"/>
          <w:lang w:eastAsia="en-US"/>
        </w:rPr>
        <w:t>Navrhovaná</w:t>
      </w:r>
      <w:r w:rsidR="00550A85" w:rsidRPr="005268EC">
        <w:rPr>
          <w:rFonts w:eastAsia="Calibri"/>
          <w:lang w:eastAsia="en-US"/>
        </w:rPr>
        <w:t xml:space="preserve"> změna</w:t>
      </w:r>
      <w:r w:rsidRPr="005268EC">
        <w:rPr>
          <w:rFonts w:eastAsia="Calibri"/>
          <w:lang w:eastAsia="en-US"/>
        </w:rPr>
        <w:t xml:space="preserve"> právní úprav</w:t>
      </w:r>
      <w:r w:rsidR="00550A85" w:rsidRPr="005268EC">
        <w:rPr>
          <w:rFonts w:eastAsia="Calibri"/>
          <w:lang w:eastAsia="en-US"/>
        </w:rPr>
        <w:t>y</w:t>
      </w:r>
      <w:r w:rsidRPr="005268EC">
        <w:rPr>
          <w:rFonts w:eastAsia="Calibri"/>
          <w:lang w:eastAsia="en-US"/>
        </w:rPr>
        <w:t xml:space="preserve"> </w:t>
      </w:r>
      <w:r w:rsidR="001B51D5" w:rsidRPr="005268EC">
        <w:rPr>
          <w:rFonts w:eastAsia="Calibri"/>
          <w:lang w:eastAsia="en-US"/>
        </w:rPr>
        <w:t xml:space="preserve">ani současný stav </w:t>
      </w:r>
      <w:r w:rsidRPr="005268EC">
        <w:rPr>
          <w:rFonts w:eastAsia="Calibri"/>
          <w:lang w:eastAsia="en-US"/>
        </w:rPr>
        <w:t>nem</w:t>
      </w:r>
      <w:r w:rsidR="001B51D5" w:rsidRPr="005268EC">
        <w:rPr>
          <w:rFonts w:eastAsia="Calibri"/>
          <w:lang w:eastAsia="en-US"/>
        </w:rPr>
        <w:t>ají</w:t>
      </w:r>
      <w:r w:rsidRPr="005268EC">
        <w:rPr>
          <w:rFonts w:eastAsia="Calibri"/>
          <w:lang w:eastAsia="en-US"/>
        </w:rPr>
        <w:t xml:space="preserve"> dopad ve vztahu </w:t>
      </w:r>
      <w:r w:rsidR="00284AB5" w:rsidRPr="005268EC">
        <w:rPr>
          <w:rFonts w:eastAsia="Calibri"/>
          <w:lang w:eastAsia="en-US"/>
        </w:rPr>
        <w:t>k </w:t>
      </w:r>
      <w:r w:rsidRPr="005268EC">
        <w:rPr>
          <w:rFonts w:eastAsia="Calibri"/>
          <w:lang w:eastAsia="en-US"/>
        </w:rPr>
        <w:t>zákazu diskriminace</w:t>
      </w:r>
      <w:r w:rsidR="001B51D5" w:rsidRPr="005268EC">
        <w:t xml:space="preserve"> ani ve vztahu k rovnosti mužů </w:t>
      </w:r>
      <w:r w:rsidR="00284AB5" w:rsidRPr="005268EC">
        <w:t>a </w:t>
      </w:r>
      <w:r w:rsidR="001B51D5" w:rsidRPr="005268EC">
        <w:t>žen</w:t>
      </w:r>
      <w:r w:rsidRPr="005268EC">
        <w:rPr>
          <w:rFonts w:eastAsia="Calibri"/>
          <w:lang w:eastAsia="en-US"/>
        </w:rPr>
        <w:t>.</w:t>
      </w:r>
    </w:p>
    <w:p w14:paraId="4976FDF7" w14:textId="71656441" w:rsidR="009C4E06" w:rsidRPr="005268EC" w:rsidRDefault="003C77F8" w:rsidP="006E04B9">
      <w:pPr>
        <w:pStyle w:val="Nadpis2"/>
        <w:keepNext w:val="0"/>
        <w:numPr>
          <w:ilvl w:val="0"/>
          <w:numId w:val="1"/>
        </w:numPr>
        <w:shd w:val="clear" w:color="auto" w:fill="FFFFFF"/>
        <w:spacing w:before="480"/>
        <w:ind w:hanging="720"/>
        <w:jc w:val="both"/>
        <w:rPr>
          <w:sz w:val="24"/>
          <w:szCs w:val="24"/>
        </w:rPr>
      </w:pPr>
      <w:r w:rsidRPr="005268EC">
        <w:rPr>
          <w:sz w:val="24"/>
          <w:szCs w:val="24"/>
        </w:rPr>
        <w:t xml:space="preserve">Zhodnocení dopadů navrhovaného řešení ve vztahu </w:t>
      </w:r>
      <w:r w:rsidR="00284AB5" w:rsidRPr="005268EC">
        <w:rPr>
          <w:sz w:val="24"/>
          <w:szCs w:val="24"/>
        </w:rPr>
        <w:t>k </w:t>
      </w:r>
      <w:r w:rsidRPr="005268EC">
        <w:rPr>
          <w:sz w:val="24"/>
          <w:szCs w:val="24"/>
        </w:rPr>
        <w:t>ochraně soukromí a osobních údajů</w:t>
      </w:r>
      <w:r w:rsidR="00367EE0" w:rsidRPr="005268EC">
        <w:rPr>
          <w:sz w:val="24"/>
          <w:szCs w:val="24"/>
        </w:rPr>
        <w:t xml:space="preserve"> (DPIA)</w:t>
      </w:r>
    </w:p>
    <w:p w14:paraId="5C7D0946" w14:textId="4DD9C90A" w:rsidR="002B3719" w:rsidRPr="00F44B38" w:rsidRDefault="624C6B33" w:rsidP="006E04B9">
      <w:pPr>
        <w:widowControl w:val="0"/>
        <w:spacing w:after="120"/>
        <w:jc w:val="both"/>
        <w:rPr>
          <w:rFonts w:eastAsia="Calibri"/>
          <w:lang w:eastAsia="en-US"/>
        </w:rPr>
      </w:pPr>
      <w:r w:rsidRPr="00F44B38">
        <w:rPr>
          <w:rFonts w:eastAsia="Calibri"/>
          <w:bCs/>
          <w:iCs/>
          <w:lang w:eastAsia="en-US"/>
        </w:rPr>
        <w:t>Navržená právní úprava nezakládá nové ani nemění žádné stávající zpracování osobních údajů, t</w:t>
      </w:r>
      <w:r w:rsidR="00407A86" w:rsidRPr="00F44B38">
        <w:rPr>
          <w:rFonts w:eastAsia="Calibri"/>
          <w:lang w:eastAsia="en-US"/>
        </w:rPr>
        <w:t>udíž</w:t>
      </w:r>
      <w:r w:rsidRPr="00F44B38">
        <w:rPr>
          <w:rFonts w:eastAsia="Calibri"/>
          <w:bCs/>
          <w:iCs/>
          <w:lang w:eastAsia="en-US"/>
        </w:rPr>
        <w:t xml:space="preserve"> dopady ve vztahu k ochraně soukromí a osobních údajů nejsou žádné</w:t>
      </w:r>
      <w:r w:rsidRPr="00F44B38">
        <w:rPr>
          <w:rFonts w:eastAsia="Calibri"/>
          <w:lang w:eastAsia="en-US"/>
        </w:rPr>
        <w:t>.</w:t>
      </w:r>
    </w:p>
    <w:p w14:paraId="223AE848" w14:textId="7D059E67" w:rsidR="009436B0" w:rsidRPr="005268EC" w:rsidRDefault="009436B0" w:rsidP="006E04B9">
      <w:pPr>
        <w:pStyle w:val="Nadpis2"/>
        <w:keepNext w:val="0"/>
        <w:numPr>
          <w:ilvl w:val="0"/>
          <w:numId w:val="1"/>
        </w:numPr>
        <w:shd w:val="clear" w:color="auto" w:fill="FFFFFF"/>
        <w:spacing w:before="480"/>
        <w:ind w:hanging="720"/>
        <w:jc w:val="both"/>
        <w:rPr>
          <w:sz w:val="24"/>
          <w:szCs w:val="24"/>
        </w:rPr>
      </w:pPr>
      <w:r w:rsidRPr="005268EC">
        <w:rPr>
          <w:sz w:val="24"/>
          <w:szCs w:val="24"/>
        </w:rPr>
        <w:t>Zhodnocení korupčních rizik</w:t>
      </w:r>
      <w:r w:rsidR="00367EE0" w:rsidRPr="005268EC">
        <w:rPr>
          <w:sz w:val="24"/>
          <w:szCs w:val="24"/>
        </w:rPr>
        <w:t xml:space="preserve"> navrhovaného řešení</w:t>
      </w:r>
    </w:p>
    <w:p w14:paraId="48EDCFF9" w14:textId="020C5BFC" w:rsidR="009436B0" w:rsidRPr="005268EC" w:rsidRDefault="00E12E2B" w:rsidP="009C4E06">
      <w:pPr>
        <w:spacing w:after="120"/>
        <w:jc w:val="both"/>
        <w:rPr>
          <w:rFonts w:eastAsia="Calibri"/>
          <w:lang w:eastAsia="en-US"/>
        </w:rPr>
      </w:pPr>
      <w:r w:rsidRPr="005268EC">
        <w:rPr>
          <w:rFonts w:eastAsia="Calibri"/>
          <w:lang w:eastAsia="en-US"/>
        </w:rPr>
        <w:t xml:space="preserve">Navrhovaná změna právní úpravy </w:t>
      </w:r>
      <w:r w:rsidR="009436B0" w:rsidRPr="005268EC">
        <w:rPr>
          <w:rFonts w:eastAsia="Calibri"/>
          <w:lang w:eastAsia="en-US"/>
        </w:rPr>
        <w:t xml:space="preserve">není </w:t>
      </w:r>
      <w:r w:rsidR="00284AB5" w:rsidRPr="005268EC">
        <w:rPr>
          <w:rFonts w:eastAsia="Calibri"/>
          <w:lang w:eastAsia="en-US"/>
        </w:rPr>
        <w:t>z </w:t>
      </w:r>
      <w:r w:rsidR="009436B0" w:rsidRPr="005268EC">
        <w:rPr>
          <w:rFonts w:eastAsia="Calibri"/>
          <w:lang w:eastAsia="en-US"/>
        </w:rPr>
        <w:t xml:space="preserve">korupčního hlediska riziková, </w:t>
      </w:r>
      <w:r w:rsidR="0094758D" w:rsidRPr="005268EC">
        <w:rPr>
          <w:rFonts w:eastAsia="Calibri"/>
          <w:lang w:eastAsia="en-US"/>
        </w:rPr>
        <w:t>neboť je převážně analogická ke stávající právní úpravě</w:t>
      </w:r>
      <w:r w:rsidR="00444721" w:rsidRPr="005268EC">
        <w:rPr>
          <w:rFonts w:eastAsia="Calibri"/>
          <w:lang w:eastAsia="en-US"/>
        </w:rPr>
        <w:t>.</w:t>
      </w:r>
      <w:r w:rsidR="009E52AA" w:rsidRPr="005268EC">
        <w:t xml:space="preserve"> </w:t>
      </w:r>
    </w:p>
    <w:p w14:paraId="665057AD" w14:textId="300E0A29" w:rsidR="00741332" w:rsidRPr="005268EC" w:rsidRDefault="00741332" w:rsidP="006E04B9">
      <w:pPr>
        <w:pStyle w:val="Nadpis2"/>
        <w:keepNext w:val="0"/>
        <w:numPr>
          <w:ilvl w:val="0"/>
          <w:numId w:val="1"/>
        </w:numPr>
        <w:shd w:val="clear" w:color="auto" w:fill="FFFFFF"/>
        <w:spacing w:before="480"/>
        <w:ind w:hanging="720"/>
        <w:jc w:val="both"/>
        <w:rPr>
          <w:sz w:val="24"/>
          <w:szCs w:val="24"/>
        </w:rPr>
      </w:pPr>
      <w:r w:rsidRPr="005268EC">
        <w:rPr>
          <w:sz w:val="24"/>
          <w:szCs w:val="24"/>
        </w:rPr>
        <w:t xml:space="preserve">Zhodnocení dopadů </w:t>
      </w:r>
      <w:r w:rsidR="004C3897" w:rsidRPr="005268EC">
        <w:rPr>
          <w:sz w:val="24"/>
          <w:szCs w:val="24"/>
        </w:rPr>
        <w:t>na bezpečnost nebo obranu státu</w:t>
      </w:r>
    </w:p>
    <w:p w14:paraId="334067FB" w14:textId="56154899" w:rsidR="00741332" w:rsidRPr="005268EC" w:rsidRDefault="00033E85" w:rsidP="009C4E06">
      <w:pPr>
        <w:spacing w:after="120"/>
        <w:jc w:val="both"/>
        <w:rPr>
          <w:rFonts w:eastAsia="Calibri"/>
          <w:lang w:eastAsia="en-US"/>
        </w:rPr>
      </w:pPr>
      <w:r w:rsidRPr="005268EC">
        <w:rPr>
          <w:rFonts w:eastAsia="Calibri"/>
          <w:lang w:eastAsia="en-US"/>
        </w:rPr>
        <w:t xml:space="preserve">Navrhovaná </w:t>
      </w:r>
      <w:r w:rsidR="00AB6802" w:rsidRPr="005268EC">
        <w:rPr>
          <w:rFonts w:eastAsia="Calibri"/>
          <w:lang w:eastAsia="en-US"/>
        </w:rPr>
        <w:t xml:space="preserve">právní </w:t>
      </w:r>
      <w:r w:rsidRPr="005268EC">
        <w:rPr>
          <w:rFonts w:eastAsia="Calibri"/>
          <w:lang w:eastAsia="en-US"/>
        </w:rPr>
        <w:t>úprava nemá dopad na bezpečnost nebo obranu st</w:t>
      </w:r>
      <w:r w:rsidR="0044311E" w:rsidRPr="005268EC">
        <w:rPr>
          <w:rFonts w:eastAsia="Calibri"/>
          <w:lang w:eastAsia="en-US"/>
        </w:rPr>
        <w:t>átu</w:t>
      </w:r>
      <w:r w:rsidRPr="005268EC">
        <w:rPr>
          <w:rFonts w:eastAsia="Calibri"/>
          <w:lang w:eastAsia="en-US"/>
        </w:rPr>
        <w:t>.</w:t>
      </w:r>
    </w:p>
    <w:p w14:paraId="0211E7FF" w14:textId="257BC1C9" w:rsidR="00771871" w:rsidRPr="005268EC" w:rsidRDefault="00771871" w:rsidP="006E04B9">
      <w:pPr>
        <w:pStyle w:val="Nadpis2"/>
        <w:keepNext w:val="0"/>
        <w:numPr>
          <w:ilvl w:val="0"/>
          <w:numId w:val="1"/>
        </w:numPr>
        <w:shd w:val="clear" w:color="auto" w:fill="FFFFFF"/>
        <w:spacing w:before="480"/>
        <w:ind w:hanging="720"/>
        <w:jc w:val="both"/>
        <w:rPr>
          <w:sz w:val="24"/>
          <w:szCs w:val="24"/>
        </w:rPr>
      </w:pPr>
      <w:r w:rsidRPr="005268EC">
        <w:rPr>
          <w:sz w:val="24"/>
          <w:szCs w:val="24"/>
        </w:rPr>
        <w:t>Zhodnocení dopadů na rodiny</w:t>
      </w:r>
    </w:p>
    <w:p w14:paraId="03FDC455" w14:textId="5565CC9A" w:rsidR="00771871" w:rsidRPr="005268EC" w:rsidRDefault="00771871" w:rsidP="009C4E06">
      <w:pPr>
        <w:tabs>
          <w:tab w:val="left" w:pos="6660"/>
        </w:tabs>
        <w:spacing w:after="120"/>
        <w:jc w:val="both"/>
      </w:pPr>
      <w:r w:rsidRPr="005268EC">
        <w:t xml:space="preserve">S realizací návrhu vyhlášky nebudou spojeny žádné samostatné </w:t>
      </w:r>
      <w:r w:rsidR="00F6464E" w:rsidRPr="005268EC">
        <w:t xml:space="preserve">dopady </w:t>
      </w:r>
      <w:r w:rsidRPr="005268EC">
        <w:t>na rodiny.</w:t>
      </w:r>
    </w:p>
    <w:p w14:paraId="7BE7BC46" w14:textId="0D24C41F" w:rsidR="00771871" w:rsidRPr="005268EC" w:rsidRDefault="00771871" w:rsidP="006E04B9">
      <w:pPr>
        <w:pStyle w:val="Nadpis2"/>
        <w:keepNext w:val="0"/>
        <w:numPr>
          <w:ilvl w:val="0"/>
          <w:numId w:val="1"/>
        </w:numPr>
        <w:shd w:val="clear" w:color="auto" w:fill="FFFFFF"/>
        <w:spacing w:before="480"/>
        <w:ind w:hanging="720"/>
        <w:jc w:val="both"/>
        <w:rPr>
          <w:sz w:val="24"/>
          <w:szCs w:val="24"/>
        </w:rPr>
      </w:pPr>
      <w:r w:rsidRPr="005268EC">
        <w:rPr>
          <w:sz w:val="24"/>
          <w:szCs w:val="24"/>
        </w:rPr>
        <w:t>Zhodnocení územních dopadů, včetně dopadů na územní samosprávné celky</w:t>
      </w:r>
    </w:p>
    <w:p w14:paraId="56848684" w14:textId="1792DBA0" w:rsidR="001C6960" w:rsidRPr="005268EC" w:rsidRDefault="00F6464E" w:rsidP="009C4E06">
      <w:pPr>
        <w:tabs>
          <w:tab w:val="left" w:pos="6660"/>
        </w:tabs>
        <w:spacing w:after="120"/>
        <w:jc w:val="both"/>
      </w:pPr>
      <w:r w:rsidRPr="005268EC">
        <w:t>S </w:t>
      </w:r>
      <w:r w:rsidR="001C6960" w:rsidRPr="005268EC">
        <w:t xml:space="preserve">realizací návrhu vyhlášky nebudou spojeny žádné územní dopady, </w:t>
      </w:r>
      <w:r w:rsidRPr="005268EC">
        <w:t>a </w:t>
      </w:r>
      <w:r w:rsidR="001C6960" w:rsidRPr="005268EC">
        <w:t>to včetně dopadů na územní samosprávné celky.</w:t>
      </w:r>
    </w:p>
    <w:p w14:paraId="098EFABD" w14:textId="641F18E1" w:rsidR="00771871" w:rsidRPr="005268EC" w:rsidRDefault="00771871" w:rsidP="006E04B9">
      <w:pPr>
        <w:pStyle w:val="Nadpis2"/>
        <w:keepNext w:val="0"/>
        <w:numPr>
          <w:ilvl w:val="0"/>
          <w:numId w:val="1"/>
        </w:numPr>
        <w:shd w:val="clear" w:color="auto" w:fill="FFFFFF"/>
        <w:spacing w:before="480"/>
        <w:ind w:hanging="720"/>
        <w:jc w:val="both"/>
        <w:rPr>
          <w:sz w:val="24"/>
          <w:szCs w:val="24"/>
        </w:rPr>
      </w:pPr>
      <w:r w:rsidRPr="005268EC">
        <w:rPr>
          <w:sz w:val="24"/>
          <w:szCs w:val="24"/>
        </w:rPr>
        <w:lastRenderedPageBreak/>
        <w:t>Zhodnocení souladu navrhovaného řešení se zásadami tvorby digitálně přívětivé</w:t>
      </w:r>
      <w:r w:rsidR="001C6960" w:rsidRPr="005268EC">
        <w:rPr>
          <w:sz w:val="24"/>
          <w:szCs w:val="24"/>
        </w:rPr>
        <w:t xml:space="preserve"> legislativy</w:t>
      </w:r>
    </w:p>
    <w:p w14:paraId="4472A21C" w14:textId="467313C8" w:rsidR="003D3CF4" w:rsidRDefault="003D3CF4" w:rsidP="009C4E06">
      <w:pPr>
        <w:tabs>
          <w:tab w:val="left" w:pos="6660"/>
        </w:tabs>
        <w:spacing w:after="120"/>
        <w:jc w:val="both"/>
      </w:pPr>
      <w:r>
        <w:t xml:space="preserve">Vzhledem k obsahu vyhlášky, kterým je stanovení způsobu výpočtu podlahové plochy stavby nebo její části, </w:t>
      </w:r>
      <w:r w:rsidR="0090672A">
        <w:t xml:space="preserve">maje na zřetelu, že vyhláška nemůže stanovovat povinnosti nad rámec zákona, </w:t>
      </w:r>
      <w:r w:rsidR="00986529">
        <w:t xml:space="preserve">není </w:t>
      </w:r>
      <w:r w:rsidR="00986529" w:rsidRPr="005268EC">
        <w:t>požadované posouzení v případě předkládaného návrhu relevantní.</w:t>
      </w:r>
    </w:p>
    <w:p w14:paraId="3C18D478" w14:textId="089EAE2C" w:rsidR="00B96869" w:rsidRDefault="00FE6F9D" w:rsidP="00375941">
      <w:pPr>
        <w:pStyle w:val="Nadpis2"/>
      </w:pPr>
      <w:r w:rsidRPr="005268EC">
        <w:rPr>
          <w:rFonts w:eastAsia="Calibri"/>
          <w:lang w:eastAsia="en-US"/>
        </w:rPr>
        <w:br w:type="page"/>
      </w:r>
      <w:r w:rsidR="007E2FDC" w:rsidRPr="00B96869">
        <w:lastRenderedPageBreak/>
        <w:t>II. Zvláštní část</w:t>
      </w:r>
    </w:p>
    <w:p w14:paraId="7C33CAF3" w14:textId="648692C1" w:rsidR="007E2FDC" w:rsidRPr="007E2FDC" w:rsidRDefault="007E2FDC" w:rsidP="006E04B9">
      <w:pPr>
        <w:pStyle w:val="Dvodovzprvakbodu"/>
        <w:numPr>
          <w:ilvl w:val="0"/>
          <w:numId w:val="0"/>
        </w:numPr>
        <w:spacing w:after="120"/>
        <w:rPr>
          <w:rFonts w:ascii="Times New Roman" w:hAnsi="Times New Roman"/>
          <w:color w:val="auto"/>
          <w:sz w:val="24"/>
        </w:rPr>
      </w:pPr>
      <w:r w:rsidRPr="007E2FDC">
        <w:rPr>
          <w:rFonts w:ascii="Times New Roman" w:hAnsi="Times New Roman"/>
          <w:color w:val="auto"/>
          <w:sz w:val="24"/>
        </w:rPr>
        <w:t>K § 1 (</w:t>
      </w:r>
      <w:r w:rsidR="00A52B85">
        <w:rPr>
          <w:rFonts w:ascii="Times New Roman" w:hAnsi="Times New Roman"/>
          <w:color w:val="auto"/>
          <w:sz w:val="24"/>
        </w:rPr>
        <w:t>V</w:t>
      </w:r>
      <w:r w:rsidRPr="007E2FDC">
        <w:rPr>
          <w:rFonts w:ascii="Times New Roman" w:hAnsi="Times New Roman"/>
          <w:color w:val="auto"/>
          <w:sz w:val="24"/>
        </w:rPr>
        <w:t xml:space="preserve">ymezení </w:t>
      </w:r>
      <w:r w:rsidRPr="007E2FDC">
        <w:rPr>
          <w:rFonts w:ascii="Times New Roman" w:hAnsi="Times New Roman"/>
          <w:color w:val="auto"/>
          <w:sz w:val="24"/>
          <w:szCs w:val="24"/>
        </w:rPr>
        <w:t>některých pojmů)</w:t>
      </w:r>
    </w:p>
    <w:p w14:paraId="69FDCF53" w14:textId="77777777" w:rsidR="007E2FDC" w:rsidRPr="007E2FDC" w:rsidRDefault="007E2FDC" w:rsidP="006E04B9">
      <w:pPr>
        <w:tabs>
          <w:tab w:val="left" w:pos="6660"/>
        </w:tabs>
        <w:spacing w:after="120"/>
        <w:jc w:val="both"/>
      </w:pPr>
      <w:r w:rsidRPr="007E2FDC">
        <w:t>V písmeni a) se pro účely výpočtu podlahové plochy definuje, co se rozumí místností. Místností se rozumí prostorově uzavřená část stavby vymezená podlahou, stropem nebo konstrukcí střechy a pevnými stěnami (zdmi). Místnost je v navrhované vyhlášce definována totožně jako ve stavebním zákoně (§ 13 písm. k) zákona č. 283/2021 Sb., stavební zákon, ve znění pozdějších předpisů).</w:t>
      </w:r>
    </w:p>
    <w:p w14:paraId="49079784" w14:textId="77777777" w:rsidR="007E2FDC" w:rsidRPr="007E2FDC" w:rsidRDefault="007E2FDC" w:rsidP="006E04B9">
      <w:pPr>
        <w:tabs>
          <w:tab w:val="left" w:pos="6660"/>
        </w:tabs>
        <w:spacing w:after="120"/>
        <w:jc w:val="both"/>
      </w:pPr>
      <w:r w:rsidRPr="007E2FDC">
        <w:t xml:space="preserve">Vedle pojmu místnost se pro účely vyhlášky v písmeni b) definuje pojem prostor. I prostor, stejně jako místnost, je část stavby, která je vymezená podlahou a stropem či střešní konstrukcí. Avšak na rozdíl od místnosti chybí prostoru alespoň jedna pevná stěna. </w:t>
      </w:r>
      <w:r w:rsidRPr="006E04B9">
        <w:t>Za prostor můžeme považovat například galerii, pavlač, podloubí, pasáže, balkon, lodžie apod.</w:t>
      </w:r>
      <w:r w:rsidRPr="007E2FDC">
        <w:t xml:space="preserve"> Naopak například nádvoří či vnitroblok, které nemají strop nebo střechu, se za prostor v souladu s definicí obsaženou v písmeni b) nepovažují.</w:t>
      </w:r>
    </w:p>
    <w:p w14:paraId="434C802A" w14:textId="77777777" w:rsidR="007E2FDC" w:rsidRPr="007E2FDC" w:rsidRDefault="007E2FDC" w:rsidP="006E04B9">
      <w:pPr>
        <w:tabs>
          <w:tab w:val="left" w:pos="6660"/>
        </w:tabs>
        <w:spacing w:after="120"/>
        <w:jc w:val="both"/>
      </w:pPr>
      <w:r w:rsidRPr="007E2FDC">
        <w:t xml:space="preserve">V souvislosti s výše uvedenými definicemi místnosti a prostoru je zapotřebí upozornit, že ačkoliv jsou tyto definice obecné, </w:t>
      </w:r>
      <w:r w:rsidRPr="007E2FDC">
        <w:rPr>
          <w:i/>
        </w:rPr>
        <w:t>a priori</w:t>
      </w:r>
      <w:r w:rsidRPr="007E2FDC">
        <w:t xml:space="preserve"> to neznamená, že veškeré místnosti a prostory se budou do podlahové plochy započítávat. Postup pro stanovení toho, které konkrétní místnosti a prostory se budou do podlahové plochy započítávat, vyplývá z následujících ustanovení upravujících způsob výpočtu podlahové plochy.</w:t>
      </w:r>
    </w:p>
    <w:p w14:paraId="68DDA399" w14:textId="77777777" w:rsidR="007E2FDC" w:rsidRPr="007E2FDC" w:rsidRDefault="007E2FDC" w:rsidP="006E04B9">
      <w:pPr>
        <w:tabs>
          <w:tab w:val="left" w:pos="6660"/>
        </w:tabs>
        <w:spacing w:after="120"/>
        <w:jc w:val="both"/>
      </w:pPr>
      <w:r w:rsidRPr="007E2FDC">
        <w:t>Je nutné se rovněž vymezit k rozlišení sklepa a sklepní kóje, garáže a garážového stání. Pokud je součástí stavby tzv. sklepní kóje, která je ohraničena například pletivovou, plechovou či obdobnou konstrukcí, byť například spojenou šrouby se stěnou, nelze sklepní kóji označit za místnost, neboť není ohraničena pevnou stěnou dané stavby, ve které se nachází. Sklepní kóje je v takovém případě obvykle součástí větší místnosti/prostoru. Obdobné platí v případě garážového stání, které je vymezeno například vyčleněním prostoru na stání namalovanými čárami na podlaze.</w:t>
      </w:r>
    </w:p>
    <w:p w14:paraId="19DA0458" w14:textId="77777777" w:rsidR="007E2FDC" w:rsidRPr="007E2FDC" w:rsidRDefault="007E2FDC" w:rsidP="006E04B9">
      <w:pPr>
        <w:tabs>
          <w:tab w:val="left" w:pos="6660"/>
        </w:tabs>
        <w:spacing w:after="120"/>
        <w:jc w:val="both"/>
      </w:pPr>
      <w:r w:rsidRPr="007E2FDC">
        <w:t>Definici místnosti či prostoru mohou za určitých okolností splnit i půda a podkroví. Z důvodu častého zaměňování a vzájemného odlišení je půda v písmeni c) definována explicitně. Odlišení obou pojmů z hlediska jejich obsahu je pro účely sledované navrhovanou vyhláškou nezbytné, protože v souladu s § 2 se podlahová plocha půdy, na rozdíl od podlahové plochy podkroví, do výpočtu podlahové plochy nezahrnuje. Z tohoto důvodu je půda v navrhované vyhlášce explicitně definována, přičemž tato definice vychází ze státní normy ČSN 73 4301:2004.</w:t>
      </w:r>
    </w:p>
    <w:p w14:paraId="5BE55CB0" w14:textId="77777777" w:rsidR="007E2FDC" w:rsidRPr="007E2FDC" w:rsidRDefault="007E2FDC" w:rsidP="006E04B9">
      <w:pPr>
        <w:tabs>
          <w:tab w:val="left" w:pos="6660"/>
        </w:tabs>
        <w:spacing w:after="120"/>
        <w:jc w:val="both"/>
      </w:pPr>
      <w:r w:rsidRPr="007E2FDC">
        <w:t>Půdou se rozumí přístupný vnitřní prostor/místnost ve stavbě, který se nachází bezprostředně pod střechou domu a je vymezen střešní konstrukcí a dalšími stavebními konstrukcemi. Významným definičním znakem půdy je skutečnost, že není určena k účelovému využití, tedy např. v rámci stavebního projektu jí nebyla určena speciální funkce, speciální využití. Slouží především jako mezistropní prostor mezi podlahou horního patra a střechou budovy. Jedná se tedy o prostor, který není určen k bydlení, k pracovním aktivitám nebo k jinému účelovému využití, ale slouží spíše jako technický prostor mezi obytnými podlažími a střechou budovy.</w:t>
      </w:r>
    </w:p>
    <w:p w14:paraId="0921B909" w14:textId="77777777" w:rsidR="007E2FDC" w:rsidRPr="007E2FDC" w:rsidRDefault="007E2FDC" w:rsidP="006E04B9">
      <w:pPr>
        <w:tabs>
          <w:tab w:val="left" w:pos="6660"/>
        </w:tabs>
        <w:spacing w:after="120"/>
        <w:jc w:val="both"/>
      </w:pPr>
      <w:r w:rsidRPr="007E2FDC">
        <w:t>Tímto se půda odlišuje od podkroví, kterým se rozumí přístupný vnitřní prostor nad posledním nadzemním podlažím vymezený střešní konstrukcí a dalšími stavebními konstrukcemi, určený k účelovému využití. Tento pojem však není nutné ve vyhlášce explicitně definovat.</w:t>
      </w:r>
    </w:p>
    <w:p w14:paraId="6DC453BA" w14:textId="77777777" w:rsidR="007E2FDC" w:rsidRPr="007E2FDC" w:rsidRDefault="007E2FDC" w:rsidP="006E04B9">
      <w:pPr>
        <w:tabs>
          <w:tab w:val="left" w:pos="6660"/>
        </w:tabs>
        <w:spacing w:after="120"/>
        <w:jc w:val="both"/>
      </w:pPr>
      <w:r w:rsidRPr="007E2FDC">
        <w:t xml:space="preserve">I když půda není primárně určena k obytnému nebo jinému účelovému využití, neznamená to, že není vůbec využívána. V praxi může být využívána např. jako umístění technických zařízení (např. větrání, topení, elektrické rozvody), skladování materiálů nebo jako prostor pro průchod potrubí. Kromě toho může také sloužit jako izolační prostor, který chrání interiér budovy před vnějšími vlivy, jako je vlhkost a teplotní výkyvy. Faktické využití půdy (např. na skladování </w:t>
      </w:r>
      <w:r w:rsidRPr="007E2FDC">
        <w:lastRenderedPageBreak/>
        <w:t xml:space="preserve">věcí) neznamená ztrátu původního statusu půdy, tedy že není dle norem v oblasti stavebnictví určena k účelovému využití. </w:t>
      </w:r>
    </w:p>
    <w:p w14:paraId="1FCCEF06" w14:textId="77777777" w:rsidR="007E2FDC" w:rsidRPr="007E2FDC" w:rsidRDefault="007E2FDC" w:rsidP="006E04B9">
      <w:pPr>
        <w:tabs>
          <w:tab w:val="left" w:pos="6660"/>
        </w:tabs>
        <w:spacing w:after="120"/>
        <w:jc w:val="both"/>
      </w:pPr>
      <w:r w:rsidRPr="007E2FDC">
        <w:t>Půda může být přebudována k účelovému využití, a to např. na obytný prostor (podkrovní byt nebo půdní vestavba) anebo na místnost nebo místnosti rozšiřující stávající obytný prostor stavby. Po takovém přebudování se již nejedná o půdu ve smyslu její definice (se všemi z toho plynoucími důsledky pro výpočty podlahové plochy).</w:t>
      </w:r>
    </w:p>
    <w:p w14:paraId="13FA74C0" w14:textId="64C915E2" w:rsidR="007E2FDC" w:rsidRPr="007E2FDC" w:rsidRDefault="007E2FDC" w:rsidP="007E2FDC">
      <w:pPr>
        <w:pStyle w:val="Dvodovzprvakbodu"/>
        <w:numPr>
          <w:ilvl w:val="0"/>
          <w:numId w:val="0"/>
        </w:numPr>
        <w:rPr>
          <w:rFonts w:ascii="Times New Roman" w:hAnsi="Times New Roman"/>
          <w:color w:val="auto"/>
          <w:sz w:val="24"/>
        </w:rPr>
      </w:pPr>
      <w:r w:rsidRPr="007E2FDC">
        <w:rPr>
          <w:rFonts w:ascii="Times New Roman" w:hAnsi="Times New Roman"/>
          <w:color w:val="auto"/>
          <w:sz w:val="24"/>
        </w:rPr>
        <w:t>K § 2 (</w:t>
      </w:r>
      <w:r w:rsidR="00A52B85">
        <w:rPr>
          <w:rFonts w:ascii="Times New Roman" w:hAnsi="Times New Roman"/>
          <w:color w:val="auto"/>
          <w:sz w:val="24"/>
        </w:rPr>
        <w:t>Z</w:t>
      </w:r>
      <w:r w:rsidRPr="007E2FDC">
        <w:rPr>
          <w:rFonts w:ascii="Times New Roman" w:hAnsi="Times New Roman"/>
          <w:color w:val="auto"/>
          <w:sz w:val="24"/>
        </w:rPr>
        <w:t xml:space="preserve">působ </w:t>
      </w:r>
      <w:r w:rsidRPr="007E2FDC">
        <w:rPr>
          <w:rFonts w:ascii="Times New Roman" w:hAnsi="Times New Roman"/>
          <w:color w:val="auto"/>
          <w:sz w:val="24"/>
          <w:szCs w:val="24"/>
        </w:rPr>
        <w:t>výpočtu podlahové plochy</w:t>
      </w:r>
      <w:r w:rsidRPr="007E2FDC">
        <w:rPr>
          <w:rFonts w:ascii="Times New Roman" w:eastAsiaTheme="minorHAnsi" w:hAnsi="Times New Roman"/>
          <w:color w:val="auto"/>
          <w:sz w:val="24"/>
          <w:szCs w:val="24"/>
        </w:rPr>
        <w:t xml:space="preserve"> stavby nebo části stavby)</w:t>
      </w:r>
    </w:p>
    <w:p w14:paraId="0A5DACBD" w14:textId="77777777" w:rsidR="007E2FDC" w:rsidRPr="007E2FDC" w:rsidRDefault="007E2FDC" w:rsidP="00F44B38">
      <w:pPr>
        <w:pStyle w:val="Dvodovzprva"/>
        <w:spacing w:after="120"/>
        <w:outlineLvl w:val="3"/>
        <w:rPr>
          <w:rFonts w:ascii="Times New Roman" w:hAnsi="Times New Roman"/>
          <w:color w:val="auto"/>
          <w:sz w:val="24"/>
          <w:u w:val="single"/>
        </w:rPr>
      </w:pPr>
      <w:r w:rsidRPr="007E2FDC">
        <w:rPr>
          <w:rFonts w:ascii="Times New Roman" w:hAnsi="Times New Roman"/>
          <w:color w:val="auto"/>
          <w:sz w:val="24"/>
          <w:u w:val="single"/>
        </w:rPr>
        <w:t>K odstavci 1</w:t>
      </w:r>
    </w:p>
    <w:p w14:paraId="46B890F9" w14:textId="02386AFA" w:rsidR="007E2FDC" w:rsidRPr="007E2FDC" w:rsidRDefault="007E2FDC" w:rsidP="006E04B9">
      <w:pPr>
        <w:tabs>
          <w:tab w:val="left" w:pos="6660"/>
        </w:tabs>
        <w:spacing w:after="120"/>
        <w:jc w:val="both"/>
      </w:pPr>
      <w:r w:rsidRPr="007E2FDC">
        <w:t>V odstavci 1 se zakotvuje způsob výpočtu podlahové plochy stavby. Podlahová plocha stavby se vypočte jako součet podlahových ploch jednotlivých místností (viz § 3) a prostorů (viz § 4) uvnitř této stavby neboli uvnitř obvodové konstrukce stavby, která odděluje tuto stavbu od vnějšího prostředí. Tuto obvodovou konstrukci si můžeme představit jako jakýsi její obal, který odděluje vnější a vnitřní prostředí stavby. Obdobou je obálka budovy, tedy soubor všech teplosměnných konstrukcí na systémové hranici celé budovy, které jsou vystaveny přilehlému prostředí, jež tvoří venkovní vzduch, přilehlá zemina, vnitřní vzduch v přilehlém nevytápěném prostoru nebo sousední budově (viz zákon č. 406/2000 Sb., o hospodaření energií, ve znění pozdějších předpisů). V kontextu tohoto vymezení se do podlahové plochy stavby nezapočítá například balkon, atrium, podloubí či pasáž. Naopak například sklep nebo jiná podzemní podlaží se do podlahové plochy jako vnitřní část stavby započítávat bude (samozřejmě v případě, že se nejedná o místnosti či prostory z počítání podlahové plochy vyloučené – viz odstavec 3). V případě atria bude zapotřebí nejprve posoudit, zda naplní definici místnosti či prostoru (viz § 1 písm. a) a b) této vyhlášky), a zda se nacházejí uvnitř obvodové konstrukce stavby, která odděluje tuto stavbu od vnějšího prostředí. Pokud budou splněny obě tyto podmínky, budou do podlahové plochy započítány v souladu s pravidly výpočtu podlahové plochy stanovené touto vyhláškou.</w:t>
      </w:r>
    </w:p>
    <w:p w14:paraId="319E70C8" w14:textId="77777777" w:rsidR="007E2FDC" w:rsidRPr="007E2FDC" w:rsidRDefault="007E2FDC" w:rsidP="006E04B9">
      <w:pPr>
        <w:tabs>
          <w:tab w:val="left" w:pos="6660"/>
        </w:tabs>
        <w:spacing w:after="120"/>
        <w:jc w:val="both"/>
      </w:pPr>
      <w:r w:rsidRPr="007E2FDC">
        <w:t>Pojem „stavba“ obsažený v tomto odstavci nemusí nutně znamenat stavbu pro bydlení nebo stavbu pro sociální bydlení (vymezené v § 48 a § 48a zákona o dani z přidané hodnoty), ale jakoukoliv stavbu, u níž je pro účely DPH potřeba určit velikost podlahové plochy. Částí stavby se pak rozumí nejen obytný prostor nebo obytný prostor pro sociální bydlení (umístěný v určité stavbě), ale obecně jakákoliv část stavby, u níž je nutné určit velikost podlahové plochy. Například pro účely stanovení základu daně podle § 49 odst. 5 zákona o dani z přidané hodnoty je potřeba zjistit, jak velká je podlahová plocha prostorů/místností určených k bydlení nebo k sociálnímu bydlení a jak velká je tato podlahová plocha v poměru k celkové velikosti podlahové plochy dané stavby, čímž určíme poměr, kterým se rozpočítá základ daně pro část stavby, která je společná jak pro bydlení/sociální bydlení, tak pro ostatní prostory/místnosti, které nenaplní definici stavby pro bydlení či stavby pro sociální bydlení (např. střecha, recepce domu, výtah).</w:t>
      </w:r>
    </w:p>
    <w:p w14:paraId="265977B5" w14:textId="535F2EEB" w:rsidR="007E2FDC" w:rsidRPr="007E2FDC" w:rsidRDefault="007E2FDC" w:rsidP="006E04B9">
      <w:pPr>
        <w:tabs>
          <w:tab w:val="left" w:pos="6660"/>
        </w:tabs>
        <w:spacing w:after="120"/>
        <w:jc w:val="both"/>
      </w:pPr>
      <w:r w:rsidRPr="007E2FDC">
        <w:t>Do podlahové plochy se nezapočítávají části stavby, které jsou vně obvodové konstrukce stavby. V souladu s tímto pravidlem se do podlahové plochy stavby nezapočítá např. balkon, zápraží, otevřená veranda, a to i v případě, že by byly připojeny zvenčí k obvodové zdi stavby.</w:t>
      </w:r>
    </w:p>
    <w:p w14:paraId="5152266E" w14:textId="77777777" w:rsidR="007E2FDC" w:rsidRPr="007E2FDC" w:rsidRDefault="007E2FDC" w:rsidP="00F44B38">
      <w:pPr>
        <w:pStyle w:val="Dvodovzprva"/>
        <w:spacing w:after="120"/>
        <w:outlineLvl w:val="3"/>
        <w:rPr>
          <w:rFonts w:ascii="Times New Roman" w:hAnsi="Times New Roman"/>
          <w:color w:val="auto"/>
          <w:sz w:val="24"/>
          <w:u w:val="single"/>
        </w:rPr>
      </w:pPr>
      <w:r w:rsidRPr="007E2FDC">
        <w:rPr>
          <w:rFonts w:ascii="Times New Roman" w:hAnsi="Times New Roman"/>
          <w:color w:val="auto"/>
          <w:sz w:val="24"/>
          <w:u w:val="single"/>
        </w:rPr>
        <w:t>K odstavci 2</w:t>
      </w:r>
    </w:p>
    <w:p w14:paraId="57993555" w14:textId="77777777" w:rsidR="007E2FDC" w:rsidRPr="007E2FDC" w:rsidRDefault="007E2FDC" w:rsidP="006E04B9">
      <w:pPr>
        <w:tabs>
          <w:tab w:val="left" w:pos="6660"/>
        </w:tabs>
        <w:spacing w:after="120"/>
        <w:jc w:val="both"/>
      </w:pPr>
      <w:r w:rsidRPr="007E2FDC">
        <w:t xml:space="preserve">Odstavec 2 obsahuje úpravu pro výpočet podlahové plochy části stavby. Typický příklad části stavby je obytný prostor (např. byt), ale jedná se o jakoukoli část stavby, u níž je zapotřebí spočítat podlahovou plochu (např. část stavby sloužící pro bydlení nebo pro sociální bydlení). Jakmile se určí část stavby, u které se počítá podlahová plocha, sečte se podlahová plocha </w:t>
      </w:r>
      <w:r w:rsidRPr="007E2FDC">
        <w:rPr>
          <w:rFonts w:eastAsiaTheme="minorEastAsia"/>
        </w:rPr>
        <w:t xml:space="preserve">jednotlivých místností a prostorů této části stavby. </w:t>
      </w:r>
      <w:r w:rsidRPr="007E2FDC">
        <w:t xml:space="preserve">Tento postup je stejný jako v případě výpočtu podlahové plochy stavby podle odstavce 1. Speciální pravidlo v případě části stavby </w:t>
      </w:r>
      <w:r w:rsidRPr="007E2FDC">
        <w:lastRenderedPageBreak/>
        <w:t xml:space="preserve">je nutné zakotvit z toho důvodu, že samotná místnost/prostor či jejich soubor (část stavby) nemá na rozdíl od stavby svou samostatnou </w:t>
      </w:r>
      <w:r w:rsidRPr="007E2FDC">
        <w:rPr>
          <w:rFonts w:eastAsiaTheme="minorEastAsia"/>
        </w:rPr>
        <w:t>obvodovou konstrukci, která odděluje tuto část stavby od vnějšího prostředí</w:t>
      </w:r>
      <w:r w:rsidRPr="007E2FDC">
        <w:t xml:space="preserve">. </w:t>
      </w:r>
    </w:p>
    <w:p w14:paraId="2B9FE2E2" w14:textId="5E809CC6" w:rsidR="007E2FDC" w:rsidRPr="007E2FDC" w:rsidRDefault="007E2FDC" w:rsidP="006E04B9">
      <w:pPr>
        <w:tabs>
          <w:tab w:val="left" w:pos="6660"/>
        </w:tabs>
        <w:spacing w:after="120"/>
        <w:jc w:val="both"/>
      </w:pPr>
      <w:r w:rsidRPr="007E2FDC">
        <w:t>V souvislosti s počítáním podlahové plochy pro účely obytného prostoru pro sociální bydlení je nutné zmínit, že do rozsahu 120 m</w:t>
      </w:r>
      <w:r w:rsidRPr="007E2FDC">
        <w:rPr>
          <w:vertAlign w:val="superscript"/>
        </w:rPr>
        <w:t>2</w:t>
      </w:r>
      <w:r w:rsidRPr="007E2FDC">
        <w:t xml:space="preserve"> (viz § 48a odst. 5 zákona o dani z přidané hodnoty) se započítává pouze podlahová plocha obytného prostoru (podle § 48 odst.</w:t>
      </w:r>
      <w:r w:rsidR="007F6FEA">
        <w:t xml:space="preserve"> 1 písm. d) zákona o </w:t>
      </w:r>
      <w:r w:rsidRPr="007E2FDC">
        <w:t xml:space="preserve">dani z přidané hodnoty se obytným prostorem rozumí </w:t>
      </w:r>
      <w:r w:rsidRPr="007E2FDC">
        <w:rPr>
          <w:i/>
        </w:rPr>
        <w:t>soubor místností, popřípadě jedna obytná místnost, které svým stavebně technickým uspořádáním a vybavením splňují požadavky na trvalé bydlení a jsou k tomuto účelu užívání určeny</w:t>
      </w:r>
      <w:r w:rsidRPr="007E2FDC">
        <w:t>). Do 120 m</w:t>
      </w:r>
      <w:r w:rsidRPr="007E2FDC">
        <w:rPr>
          <w:vertAlign w:val="superscript"/>
        </w:rPr>
        <w:t>2</w:t>
      </w:r>
      <w:r w:rsidRPr="007E2FDC">
        <w:t xml:space="preserve"> se nezapočítává podlahová plocha místností užívaných spolu s tímto obytným prostorem, které se sice nacházejí ve stejné stavbě pevně spojené se zemí, ale které se nacházejí mimo dotče</w:t>
      </w:r>
      <w:r w:rsidR="007F6FEA">
        <w:t>ný obytný prostor, tj. nejsou s </w:t>
      </w:r>
      <w:r w:rsidRPr="007E2FDC">
        <w:t xml:space="preserve">tímto obytným prostorem propojeny dveřmi, a to i pokud mají s obytným prostorem společnou jednu nebo více stěn (např. sklep, komora přístupná samostatně ze společných částí domu, garáž a podobné místnosti, sušárna, kočárkárna či obdobné místnosti, které patří do společných částí domu). </w:t>
      </w:r>
    </w:p>
    <w:p w14:paraId="2FCFCC3F" w14:textId="77777777" w:rsidR="007E2FDC" w:rsidRPr="007E2FDC" w:rsidRDefault="007E2FDC" w:rsidP="006E04B9">
      <w:pPr>
        <w:tabs>
          <w:tab w:val="left" w:pos="6660"/>
        </w:tabs>
        <w:spacing w:after="120"/>
        <w:jc w:val="both"/>
      </w:pPr>
      <w:r w:rsidRPr="007E2FDC">
        <w:t>Výše uvedené k místnosti užívané spolu s obytným prostorem platí rovněž pro vymezení místnosti užívané spolu s obytným prostorem podle § 48 odst. 1 písm. e) zákona o dani z přidané hodnoty.</w:t>
      </w:r>
    </w:p>
    <w:p w14:paraId="51DB660D" w14:textId="77777777" w:rsidR="007E2FDC" w:rsidRPr="00F44B38" w:rsidRDefault="007E2FDC" w:rsidP="006E04B9">
      <w:pPr>
        <w:tabs>
          <w:tab w:val="left" w:pos="6660"/>
        </w:tabs>
        <w:spacing w:after="120"/>
        <w:jc w:val="both"/>
      </w:pPr>
      <w:r w:rsidRPr="007E2FDC">
        <w:t>Při výpočtu podlahové plochy pro účely daně z přidané hodnoty se postupuje stejně u všech obytných prostorů, tj. není podstatné, zda byt, který tvoří obytný prostor, nebo přímo samotný obytný prostor je či není vymezen jako jednotka. Vzhledem k § 4b odst. 3 zákona o dani z </w:t>
      </w:r>
      <w:r w:rsidRPr="00F44B38">
        <w:t>přidané hodnoty není v případě vymezení jednotky podstatné, zda jde o jednotku podle občanského zákoníku nebo o jednotku podle zákona č. 72/1994 Sb., kterým se upravují některé spoluvlastnické vztahy k budovám a některé vlastnické vztahy k bytům a nebytovým prostorům a doplňují některé zákony (zákon o vlastnictví bytů).</w:t>
      </w:r>
    </w:p>
    <w:p w14:paraId="68E6E067" w14:textId="77777777" w:rsidR="007E2FDC" w:rsidRPr="00F44B38" w:rsidRDefault="007E2FDC" w:rsidP="00F44B38">
      <w:pPr>
        <w:pStyle w:val="Dvodovzprva"/>
        <w:spacing w:after="120"/>
        <w:outlineLvl w:val="3"/>
        <w:rPr>
          <w:rFonts w:ascii="Times New Roman" w:hAnsi="Times New Roman"/>
          <w:color w:val="auto"/>
          <w:sz w:val="24"/>
          <w:u w:val="single"/>
        </w:rPr>
      </w:pPr>
      <w:r w:rsidRPr="00F44B38">
        <w:rPr>
          <w:rFonts w:ascii="Times New Roman" w:hAnsi="Times New Roman"/>
          <w:color w:val="auto"/>
          <w:sz w:val="24"/>
          <w:u w:val="single"/>
        </w:rPr>
        <w:t>K odstavci 3</w:t>
      </w:r>
    </w:p>
    <w:p w14:paraId="7C3BCDE5" w14:textId="77777777" w:rsidR="007E2FDC" w:rsidRPr="00F44B38" w:rsidRDefault="007E2FDC" w:rsidP="006E04B9">
      <w:pPr>
        <w:tabs>
          <w:tab w:val="left" w:pos="6660"/>
        </w:tabs>
        <w:spacing w:after="120"/>
        <w:jc w:val="both"/>
      </w:pPr>
      <w:r w:rsidRPr="00F44B38">
        <w:t>V odstavci 3 je uveden výčet místností či prostorů, které se do výpočtu podlahové plochy nezahrnují. Děje se tak zejména z důvodu návaznosti na dosavadní postupy při stanovení podlahové plochy pro účely DPH, jakož i důvodu zjednodušení výpočtu podlahové plochy (např. vypuštění počítání podlahové plochy schodiště).</w:t>
      </w:r>
    </w:p>
    <w:p w14:paraId="1D56BB69" w14:textId="77777777" w:rsidR="007E2FDC" w:rsidRPr="00F44B38" w:rsidRDefault="007E2FDC" w:rsidP="00F44B38">
      <w:pPr>
        <w:tabs>
          <w:tab w:val="left" w:pos="6660"/>
        </w:tabs>
        <w:spacing w:after="120"/>
        <w:jc w:val="both"/>
      </w:pPr>
      <w:r w:rsidRPr="00F44B38">
        <w:t>Do podlahové plochy stavby nebo její části se nezapočítává podlahová plocha:</w:t>
      </w:r>
    </w:p>
    <w:p w14:paraId="2360704E" w14:textId="77777777" w:rsidR="007E2FDC" w:rsidRPr="00F44B38" w:rsidRDefault="007E2FDC" w:rsidP="00F44B38">
      <w:pPr>
        <w:pStyle w:val="Odstavecseseznamem"/>
        <w:numPr>
          <w:ilvl w:val="0"/>
          <w:numId w:val="24"/>
        </w:numPr>
        <w:tabs>
          <w:tab w:val="left" w:pos="6660"/>
        </w:tabs>
        <w:rPr>
          <w:rFonts w:ascii="Times New Roman" w:hAnsi="Times New Roman"/>
        </w:rPr>
      </w:pPr>
      <w:r w:rsidRPr="00F44B38">
        <w:rPr>
          <w:rFonts w:ascii="Times New Roman" w:hAnsi="Times New Roman"/>
        </w:rPr>
        <w:t>půdy (viz § 1 písm. c)),</w:t>
      </w:r>
    </w:p>
    <w:p w14:paraId="45C12CEA" w14:textId="77777777" w:rsidR="007E2FDC" w:rsidRPr="00F44B38" w:rsidRDefault="007E2FDC" w:rsidP="00F44B38">
      <w:pPr>
        <w:pStyle w:val="Odstavecseseznamem"/>
        <w:numPr>
          <w:ilvl w:val="0"/>
          <w:numId w:val="24"/>
        </w:numPr>
        <w:tabs>
          <w:tab w:val="left" w:pos="6660"/>
        </w:tabs>
        <w:rPr>
          <w:rFonts w:ascii="Times New Roman" w:hAnsi="Times New Roman"/>
        </w:rPr>
      </w:pPr>
      <w:r w:rsidRPr="00F44B38">
        <w:rPr>
          <w:rFonts w:ascii="Times New Roman" w:hAnsi="Times New Roman"/>
        </w:rPr>
        <w:t xml:space="preserve">lodžie (balkon či například terasa jsou z počítání podlahové plochy zpravidla vyloučeny proto, že se nenacházejí </w:t>
      </w:r>
      <w:r w:rsidRPr="00F44B38">
        <w:rPr>
          <w:rFonts w:ascii="Times New Roman" w:eastAsia="Times New Roman" w:hAnsi="Times New Roman"/>
        </w:rPr>
        <w:t>uvnitř obvodové konstrukce stavby, která odděluje stavbu od vnějšího prostředí)</w:t>
      </w:r>
      <w:r w:rsidRPr="00F44B38">
        <w:rPr>
          <w:rFonts w:ascii="Times New Roman" w:hAnsi="Times New Roman"/>
        </w:rPr>
        <w:t>,</w:t>
      </w:r>
    </w:p>
    <w:p w14:paraId="1EE4D8EA" w14:textId="77777777" w:rsidR="007E2FDC" w:rsidRPr="00F44B38" w:rsidRDefault="007E2FDC" w:rsidP="00F44B38">
      <w:pPr>
        <w:pStyle w:val="Odstavecseseznamem"/>
        <w:numPr>
          <w:ilvl w:val="0"/>
          <w:numId w:val="24"/>
        </w:numPr>
        <w:tabs>
          <w:tab w:val="left" w:pos="6660"/>
        </w:tabs>
        <w:rPr>
          <w:rFonts w:ascii="Times New Roman" w:hAnsi="Times New Roman"/>
        </w:rPr>
      </w:pPr>
      <w:r w:rsidRPr="00F44B38">
        <w:rPr>
          <w:rFonts w:ascii="Times New Roman" w:hAnsi="Times New Roman"/>
        </w:rPr>
        <w:t>schodiště a místnosti nebo prostoru, které jsou určeny k obdobnému využití,</w:t>
      </w:r>
    </w:p>
    <w:p w14:paraId="4C623C8F" w14:textId="77777777" w:rsidR="007E2FDC" w:rsidRPr="00F44B38" w:rsidRDefault="007E2FDC" w:rsidP="00F44B38">
      <w:pPr>
        <w:pStyle w:val="Odstavecseseznamem"/>
        <w:numPr>
          <w:ilvl w:val="0"/>
          <w:numId w:val="24"/>
        </w:numPr>
        <w:tabs>
          <w:tab w:val="left" w:pos="6660"/>
        </w:tabs>
        <w:rPr>
          <w:rFonts w:ascii="Times New Roman" w:hAnsi="Times New Roman"/>
        </w:rPr>
      </w:pPr>
      <w:r w:rsidRPr="00F44B38">
        <w:rPr>
          <w:rFonts w:ascii="Times New Roman" w:hAnsi="Times New Roman"/>
        </w:rPr>
        <w:t>kotelny, strojovny, výtahové šachty a jiné místnosti nebo prostoru, které jsou určeny k využití jako technologické zázemí (neplatí pro rodinné domy).</w:t>
      </w:r>
    </w:p>
    <w:p w14:paraId="6FBA1296" w14:textId="77777777" w:rsidR="007E2FDC" w:rsidRPr="007E2FDC" w:rsidRDefault="007E2FDC" w:rsidP="00F44B38">
      <w:pPr>
        <w:tabs>
          <w:tab w:val="left" w:pos="6660"/>
        </w:tabs>
        <w:spacing w:after="120"/>
        <w:jc w:val="both"/>
      </w:pPr>
      <w:r w:rsidRPr="00F44B38">
        <w:t>Lodžie se zpravidla nacházejí mimo obvodové konstrukce stavby, která odděluje stavbu od vnějšího prostředí, a tedy se nezapočítávají do podlahové plochy stavby. Nicméně existují situace, kdy lodžie mohou být upraveny tak, že by se již staly součástí obvodové konstrukce stavby. Z důvodu zajištění stejného</w:t>
      </w:r>
      <w:r w:rsidRPr="007E2FDC">
        <w:t xml:space="preserve"> přístupu ke všem typům lodžií proto dochází k jejich jmenovitému vyloučení z výpočtu podlahové plochy stavby nebo její části.</w:t>
      </w:r>
    </w:p>
    <w:p w14:paraId="50680020" w14:textId="77777777" w:rsidR="007E2FDC" w:rsidRPr="007E2FDC" w:rsidRDefault="007E2FDC" w:rsidP="00F44B38">
      <w:pPr>
        <w:tabs>
          <w:tab w:val="left" w:pos="6660"/>
        </w:tabs>
        <w:spacing w:after="120"/>
        <w:jc w:val="both"/>
      </w:pPr>
      <w:r w:rsidRPr="007E2FDC">
        <w:t xml:space="preserve">Schodištěm se v s normou ČSN 73 4130 rozumí stavební konstrukce určená k překonávání rozdílů výškových úrovní chůzí, skládající se ze schodišťových ramen a podest. Podestou se rozumí plocha, na niž schodišťové rameno bezprostředně navazuje po překonání určité výškové </w:t>
      </w:r>
      <w:r w:rsidRPr="007E2FDC">
        <w:lastRenderedPageBreak/>
        <w:t>úrovně, které se dělí na podlažní (patrovou) podestu a mezipodlažní (mezipatrovou) podestu. Do podlahové plochy stavby či její části se tak nezapočítá jak plocha schodiště, tak plocha podesty či mezipodesty. Jako příklad místnosti či prostoru, které jsou určené k obdobnému využití, je možné uvést například šikmou rampu.</w:t>
      </w:r>
    </w:p>
    <w:p w14:paraId="40D99A60" w14:textId="47C7A312" w:rsidR="007E2FDC" w:rsidRPr="007E2FDC" w:rsidRDefault="007E2FDC" w:rsidP="00F44B38">
      <w:pPr>
        <w:tabs>
          <w:tab w:val="left" w:pos="6660"/>
        </w:tabs>
        <w:spacing w:after="120"/>
        <w:jc w:val="both"/>
      </w:pPr>
      <w:r w:rsidRPr="007E2FDC">
        <w:t>V neposlední řadě se do podlahové plochy nezapočítávají místnosti či prostory jako jsou kotelna, strojovna, výtahová šachta a obdobné místnosti či prostory, které jsou např. v rámci stavebního projektu určeny k využití pro technologické zázemí.</w:t>
      </w:r>
      <w:r w:rsidR="007F6FEA">
        <w:t xml:space="preserve"> Jako příklad dalších prostor a </w:t>
      </w:r>
      <w:r w:rsidRPr="007E2FDC">
        <w:t>místností lze uvést transformovnu, výměníkovou stanici či místnost/prostor pro vzduchotechniku. Vzhledem ke skutečnosti, že z titulu stavebních předpisů neexistují pravidla, která by stanovovala povinnost oddělit technické zázemí od ostatních místností/prostorů a do „</w:t>
      </w:r>
      <w:r w:rsidRPr="007E2FDC">
        <w:rPr>
          <w:i/>
          <w:iCs/>
        </w:rPr>
        <w:t>technických</w:t>
      </w:r>
      <w:r w:rsidRPr="007E2FDC">
        <w:t>“ místností (např. místnost s kotlem, přípojkami) se často umisťuje i pračka, sušička či se zároveň jedná o prostor pro ukládání věcí, neplatí daná výjimka pro rodinné domy. Tedy v případě rodinných domů se do podlahové plochy bude započítávat i plocha technologického zázemí (např. místnost či prostor s kotlem).</w:t>
      </w:r>
    </w:p>
    <w:p w14:paraId="77042B0A" w14:textId="4D5EC3B4" w:rsidR="007E2FDC" w:rsidRPr="007E2FDC" w:rsidRDefault="007E2FDC" w:rsidP="007E2FDC">
      <w:pPr>
        <w:pStyle w:val="Dvodovzprvakbodu"/>
        <w:numPr>
          <w:ilvl w:val="0"/>
          <w:numId w:val="0"/>
        </w:numPr>
        <w:rPr>
          <w:rFonts w:ascii="Times New Roman" w:hAnsi="Times New Roman"/>
          <w:color w:val="auto"/>
          <w:sz w:val="24"/>
        </w:rPr>
      </w:pPr>
      <w:r w:rsidRPr="007E2FDC">
        <w:rPr>
          <w:rFonts w:ascii="Times New Roman" w:hAnsi="Times New Roman"/>
          <w:color w:val="auto"/>
          <w:sz w:val="24"/>
        </w:rPr>
        <w:t>K § 3 (</w:t>
      </w:r>
      <w:r w:rsidR="00A52B85">
        <w:rPr>
          <w:rFonts w:ascii="Times New Roman" w:hAnsi="Times New Roman"/>
          <w:color w:val="auto"/>
          <w:sz w:val="24"/>
        </w:rPr>
        <w:t>Z</w:t>
      </w:r>
      <w:r w:rsidRPr="007E2FDC">
        <w:rPr>
          <w:rFonts w:ascii="Times New Roman" w:hAnsi="Times New Roman"/>
          <w:color w:val="auto"/>
          <w:sz w:val="24"/>
        </w:rPr>
        <w:t xml:space="preserve">působ </w:t>
      </w:r>
      <w:r w:rsidRPr="007E2FDC">
        <w:rPr>
          <w:rFonts w:ascii="Times New Roman" w:hAnsi="Times New Roman"/>
          <w:color w:val="auto"/>
          <w:sz w:val="24"/>
          <w:szCs w:val="24"/>
        </w:rPr>
        <w:t>výpočtu podlahové plochy</w:t>
      </w:r>
      <w:r w:rsidRPr="007E2FDC">
        <w:rPr>
          <w:rFonts w:ascii="Times New Roman" w:eastAsiaTheme="minorHAnsi" w:hAnsi="Times New Roman"/>
          <w:color w:val="auto"/>
          <w:sz w:val="24"/>
          <w:szCs w:val="24"/>
        </w:rPr>
        <w:t xml:space="preserve"> místnosti)</w:t>
      </w:r>
    </w:p>
    <w:p w14:paraId="75F41A7C" w14:textId="77777777" w:rsidR="007E2FDC" w:rsidRPr="007E2FDC" w:rsidRDefault="007E2FDC" w:rsidP="00F44B38">
      <w:pPr>
        <w:pStyle w:val="Dvodovzprva"/>
        <w:spacing w:after="120"/>
        <w:outlineLvl w:val="3"/>
        <w:rPr>
          <w:rFonts w:ascii="Times New Roman" w:hAnsi="Times New Roman"/>
          <w:color w:val="auto"/>
          <w:sz w:val="24"/>
          <w:u w:val="single"/>
        </w:rPr>
      </w:pPr>
      <w:r w:rsidRPr="007E2FDC">
        <w:rPr>
          <w:rFonts w:ascii="Times New Roman" w:hAnsi="Times New Roman"/>
          <w:color w:val="auto"/>
          <w:sz w:val="24"/>
          <w:u w:val="single"/>
        </w:rPr>
        <w:t>K odstavci 1</w:t>
      </w:r>
    </w:p>
    <w:p w14:paraId="30A910FE" w14:textId="77777777" w:rsidR="007E2FDC" w:rsidRPr="007E2FDC" w:rsidRDefault="007E2FDC" w:rsidP="00F44B38">
      <w:pPr>
        <w:tabs>
          <w:tab w:val="left" w:pos="6660"/>
        </w:tabs>
        <w:spacing w:after="120"/>
        <w:jc w:val="both"/>
        <w:rPr>
          <w:rFonts w:eastAsiaTheme="minorHAnsi"/>
        </w:rPr>
      </w:pPr>
      <w:r w:rsidRPr="007E2FDC">
        <w:rPr>
          <w:rFonts w:eastAsiaTheme="minorHAnsi"/>
        </w:rPr>
        <w:t xml:space="preserve">V § 3 odst. 1 se zakotvuje výpočet podlahové plochy místnosti (viz § 1 písm. a) této vyhlášky) bez ohledu na to, v jaké stavbě (rodinný dům, bytový dům, polyfunkční dům apod.) či její části se nachází. Podlahová plocha </w:t>
      </w:r>
      <w:r w:rsidRPr="00F44B38">
        <w:t>místnosti</w:t>
      </w:r>
      <w:r w:rsidRPr="007E2FDC">
        <w:rPr>
          <w:rFonts w:eastAsiaTheme="minorHAnsi"/>
        </w:rPr>
        <w:t xml:space="preserve"> se vypočte jako plocha vymezená vnitřním lícem svislých konstrukcí ohraničujících místnost, zjednodušeně řečeno plocha mezi stěnami místnosti. Má-li místnost šikmou stěnu nebo šikmý strop, zahrne se do podlahové plochy místnosti pouze plocha místnosti ve výšce 1,2 m nad úrovní podlahy (laicky řečeno kdyby podlaha byla ve výšce 1,2 m). Typickým příkladem místnosti s šikmou střechou nebo stropem je podkrovní pokoj. Toto pravidlo se však může aplikovat rovněž na sklep, který může mít šikmou stěnu či strop.</w:t>
      </w:r>
    </w:p>
    <w:p w14:paraId="60FDA32F" w14:textId="3CAD6550" w:rsidR="007E2FDC" w:rsidRPr="007E2FDC" w:rsidRDefault="007E2FDC" w:rsidP="00F44B38">
      <w:pPr>
        <w:tabs>
          <w:tab w:val="left" w:pos="6660"/>
        </w:tabs>
        <w:spacing w:after="120"/>
        <w:jc w:val="both"/>
        <w:rPr>
          <w:rFonts w:eastAsiaTheme="minorHAnsi"/>
        </w:rPr>
      </w:pPr>
      <w:r w:rsidRPr="007E2FDC">
        <w:rPr>
          <w:rFonts w:eastAsiaTheme="minorHAnsi"/>
        </w:rPr>
        <w:t xml:space="preserve">Vzhledem ke konstrukci výpočtu podlahové plochy, která je vymezena plochou mezi svislými konstrukcemi ohraničujících místnost, nikoli jako nášlapná plocha, započte se do podlahové plochy i plocha zakrytá zabudovanými předměty (např. vestavěné skříně, vany, kamna a jiné zařizovací předměty). </w:t>
      </w:r>
      <w:r w:rsidRPr="00F44B38">
        <w:t>Do podlahové plochy se rovněž započte plocha pod schodištěm (přístupná podlaha), jedná</w:t>
      </w:r>
      <w:r w:rsidRPr="00F44B38">
        <w:noBreakHyphen/>
        <w:t>li se o schodiště, které není zděné/pevné a nevymezuje tak místnost.</w:t>
      </w:r>
      <w:r w:rsidRPr="007E2FDC">
        <w:rPr>
          <w:rFonts w:eastAsiaTheme="minorHAnsi"/>
        </w:rPr>
        <w:t xml:space="preserve"> Dále se do podlahové plochy místnosti započte i podlahová plocha</w:t>
      </w:r>
      <w:r w:rsidR="007F6FEA">
        <w:rPr>
          <w:rFonts w:eastAsiaTheme="minorHAnsi"/>
        </w:rPr>
        <w:t xml:space="preserve"> pod sloupy, pilíři a </w:t>
      </w:r>
      <w:r w:rsidRPr="007E2FDC">
        <w:rPr>
          <w:rFonts w:eastAsiaTheme="minorHAnsi"/>
        </w:rPr>
        <w:t>podobnými prvky, které jsou obsaženy uvnitř místnosti (nejsou součástí stěn, které místnost vymezují s tím, že toto platí pro takovéto nosné i nenosné konstrukce).</w:t>
      </w:r>
      <w:r w:rsidRPr="007E2FDC" w:rsidDel="00292C74">
        <w:rPr>
          <w:rFonts w:eastAsiaTheme="minorHAnsi"/>
        </w:rPr>
        <w:t xml:space="preserve"> </w:t>
      </w:r>
    </w:p>
    <w:p w14:paraId="7D6A23C7" w14:textId="77777777" w:rsidR="007E2FDC" w:rsidRPr="00F44B38" w:rsidRDefault="007E2FDC" w:rsidP="00F44B38">
      <w:pPr>
        <w:tabs>
          <w:tab w:val="left" w:pos="6660"/>
        </w:tabs>
        <w:spacing w:after="120"/>
        <w:jc w:val="both"/>
      </w:pPr>
      <w:r w:rsidRPr="007E2FDC">
        <w:rPr>
          <w:rFonts w:eastAsiaTheme="minorHAnsi"/>
        </w:rPr>
        <w:t xml:space="preserve">Jsou-li součástí stěny dveře, resp. dveřní otvor, okna, resp. prostor na okna, který je zapuštěný do stěny až k podlaze, podlahová plocha se pro zjednodušení vypočítá bez zohlednění tohoto dveřního či okenního prostoru tak, jako kdyby byla stěna celá neporušená. Do podlahové plochy se tak nezapočte </w:t>
      </w:r>
      <w:r w:rsidRPr="00F44B38">
        <w:t>případný výklenek na dveře daný šířkou stěny, naopak se započte i plocha pod dveřmi, které ční do místnosti. Toto pravidlo se však neaplikuje v případě samostatného výklenku, který žádný takový prostor neobsahuje.</w:t>
      </w:r>
    </w:p>
    <w:p w14:paraId="6BEB8419" w14:textId="496C9C1C" w:rsidR="007E2FDC" w:rsidRPr="007E2FDC" w:rsidRDefault="007E2FDC" w:rsidP="00F44B38">
      <w:pPr>
        <w:tabs>
          <w:tab w:val="left" w:pos="6660"/>
        </w:tabs>
        <w:spacing w:after="120"/>
        <w:jc w:val="both"/>
        <w:rPr>
          <w:rFonts w:eastAsiaTheme="minorHAnsi"/>
        </w:rPr>
      </w:pPr>
      <w:r w:rsidRPr="00F44B38">
        <w:t>Tento výpočet bude znamenat změnu výpočtu podlahové plochy obytného prostoru, u něhož se před 1. červencem 2025 započítávala plocha mezi vnitřními povrchy obvodových stěn bytu (vycházelo se z nařízení vlády č. 366/2013 Sb. o úpravě některých záležitostí souvisejících s bytovým spoluvlastnictvím (dále jen „nařízení č. 366/2013 Sb.“)). Do podlahové plochy se tak s výjimkou obvodových stěn zahrnovala i plocha pod svislými nosnými i nenosnými konstrukcemi uvnitř obytného</w:t>
      </w:r>
      <w:r w:rsidRPr="007E2FDC">
        <w:rPr>
          <w:rFonts w:eastAsiaTheme="minorHAnsi"/>
        </w:rPr>
        <w:t xml:space="preserve"> prostoru, jakými jsou např. </w:t>
      </w:r>
      <w:r w:rsidR="007F6FEA">
        <w:rPr>
          <w:rFonts w:eastAsiaTheme="minorHAnsi"/>
        </w:rPr>
        <w:t>stěny, komíny a </w:t>
      </w:r>
      <w:r w:rsidRPr="007E2FDC">
        <w:rPr>
          <w:rFonts w:eastAsiaTheme="minorHAnsi"/>
        </w:rPr>
        <w:t>obdobné svislé konstrukce. Nově se plocha pod těmito konstrukcemi započítávat nebude.</w:t>
      </w:r>
    </w:p>
    <w:p w14:paraId="4537A832" w14:textId="77777777" w:rsidR="007E2FDC" w:rsidRPr="007E2FDC" w:rsidRDefault="007E2FDC" w:rsidP="00F44B38">
      <w:pPr>
        <w:tabs>
          <w:tab w:val="left" w:pos="6660"/>
        </w:tabs>
        <w:spacing w:after="120"/>
        <w:jc w:val="both"/>
        <w:rPr>
          <w:rFonts w:eastAsiaTheme="minorHAnsi"/>
        </w:rPr>
      </w:pPr>
      <w:r w:rsidRPr="007E2FDC">
        <w:rPr>
          <w:rFonts w:eastAsiaTheme="minorHAnsi"/>
        </w:rPr>
        <w:lastRenderedPageBreak/>
        <w:t xml:space="preserve">Návrh vyhlášky neobsahuje speciální úpravu pro výpočet podlahové plochy obytného prostoru mezonetového typu, tj. obytného prostoru umístěného ve dvou nebo více podlažích spojených schodištěm uvnitř obytného prostoru (viz § 3 odst. 2 nařízení č. 366/2013 Sb.). Pro výpočet podlahové plochy „mezonetu“ tak, z důvodu vzájemné poměřitelnosti se stavbou, v níž je mezonetový obytný prostor umístěn, platí stejná pravidla, jako jsou nastavena pro výpočet podlahové plochy stavby </w:t>
      </w:r>
      <w:r w:rsidRPr="00F44B38">
        <w:t>nebo</w:t>
      </w:r>
      <w:r w:rsidRPr="007E2FDC">
        <w:rPr>
          <w:rFonts w:eastAsiaTheme="minorHAnsi"/>
        </w:rPr>
        <w:t xml:space="preserve"> její části – jeho podlahová plocha se vypočte jako součet podlahových ploch jednotlivých místností a prostorů tohoto mezonetu bez započítání podlahové plochy schodiště (viz § 2 odst. 3 písm. c) návrhu vyhlášky).</w:t>
      </w:r>
    </w:p>
    <w:p w14:paraId="033C5C69" w14:textId="77777777" w:rsidR="007E2FDC" w:rsidRPr="007E2FDC" w:rsidRDefault="007E2FDC" w:rsidP="00F44B38">
      <w:pPr>
        <w:pStyle w:val="Dvodovzprva"/>
        <w:spacing w:after="120"/>
        <w:outlineLvl w:val="3"/>
        <w:rPr>
          <w:rFonts w:ascii="Times New Roman" w:hAnsi="Times New Roman"/>
          <w:color w:val="auto"/>
          <w:sz w:val="24"/>
          <w:u w:val="single"/>
        </w:rPr>
      </w:pPr>
      <w:r w:rsidRPr="007E2FDC">
        <w:rPr>
          <w:rFonts w:ascii="Times New Roman" w:hAnsi="Times New Roman"/>
          <w:color w:val="auto"/>
          <w:sz w:val="24"/>
          <w:u w:val="single"/>
        </w:rPr>
        <w:t>K odstavci 2</w:t>
      </w:r>
    </w:p>
    <w:p w14:paraId="3DB1DE3E" w14:textId="1EB105B2" w:rsidR="007E2FDC" w:rsidRPr="007E2FDC" w:rsidRDefault="007E2FDC" w:rsidP="00F44B38">
      <w:pPr>
        <w:tabs>
          <w:tab w:val="left" w:pos="6660"/>
        </w:tabs>
        <w:spacing w:after="120"/>
        <w:jc w:val="both"/>
      </w:pPr>
      <w:r w:rsidRPr="007E2FDC">
        <w:t xml:space="preserve">Je-li místnost stavebně uspořádána tak, že je její součástí </w:t>
      </w:r>
      <w:r w:rsidR="00F44B38">
        <w:t>tzv. galerie, obsahuje odstavec </w:t>
      </w:r>
      <w:r w:rsidRPr="007E2FDC">
        <w:t>2 pravidlo, v jakém případě se podlahová plocha galerie do podlahové plochy místnosti započítá. Galerií se rozumí otevřený prostor zpravidla opatřený zábradlím, který se nachází v horní části většího prostoru/místnosti. Galerie je vymezena nosnou konstrukcí s podlahou. Jedná se tedy o podlahovou plochu, která může (i) být vymezena minimálně j</w:t>
      </w:r>
      <w:r w:rsidR="00F44B38">
        <w:t>ednou svislou stěnou, nebo (ii) </w:t>
      </w:r>
      <w:r w:rsidRPr="007E2FDC">
        <w:t xml:space="preserve">může být bez zakotvení do svislých stěn, neboť bude ukotvena do horní nosné konstrukce nebo spodní nosné konstrukce. </w:t>
      </w:r>
    </w:p>
    <w:p w14:paraId="6BA7CFE8" w14:textId="3BC0B71D" w:rsidR="007E2FDC" w:rsidRPr="007E2FDC" w:rsidRDefault="007E2FDC" w:rsidP="00F44B38">
      <w:pPr>
        <w:tabs>
          <w:tab w:val="left" w:pos="6660"/>
        </w:tabs>
        <w:spacing w:after="120"/>
        <w:jc w:val="both"/>
      </w:pPr>
      <w:r w:rsidRPr="007E2FDC">
        <w:t>Podlahová plocha galerie se do podlahové plochy místnosti započte pouze v případě, že světlá výška (viz § 38 vyhlášky č. 146/2024 Sb., o požadavcích na výstavbu) galerie, tedy horního prostoru od podlahy galerie po strop, dosahuje alespoň 2,1 m. Tato výška byla zvolena s ohledem na doporučenou podchodnou výšku stanovenou v ČSN 73 4301 Obytné budovy.</w:t>
      </w:r>
      <w:r w:rsidR="009C0FD5">
        <w:t xml:space="preserve"> </w:t>
      </w:r>
      <w:r w:rsidRPr="007E2FDC">
        <w:t>Pokud není podmínka výšky splněna, podlahová plocha galerie se do podlahové plochy místnosti nezapočítá. Na rozdíl od výpočtu podlahové plochy galerie v jiných předpisech (např. nařízení č. 366/2013 Sb.) se v souladu s § 2 odst. 2 do podlahové plochy podlahová plocha schodiště nezapočítá. Rovněž pro účely započtení podlahové plochy pro účely DPH není podstatné, jakým způsobem je spojen spodní prostor místnosti s galerií. Klíčovou je pouze světlá výška prostoru galerie.</w:t>
      </w:r>
    </w:p>
    <w:p w14:paraId="1FDFF0E4" w14:textId="77777777" w:rsidR="007E2FDC" w:rsidRPr="007E2FDC" w:rsidRDefault="007E2FDC" w:rsidP="00F44B38">
      <w:pPr>
        <w:tabs>
          <w:tab w:val="left" w:pos="6660"/>
        </w:tabs>
        <w:spacing w:after="120"/>
        <w:jc w:val="both"/>
        <w:rPr>
          <w:rFonts w:eastAsiaTheme="minorHAnsi"/>
        </w:rPr>
      </w:pPr>
      <w:r w:rsidRPr="007E2FDC">
        <w:t>Pro samotný výpočet podlahové plochy prostoru galerie se vychází z pravidla pro počítání podlahové plochy prostoru uvedeného v § 4 této vyhlášky. Na</w:t>
      </w:r>
      <w:r w:rsidRPr="007E2FDC">
        <w:rPr>
          <w:rFonts w:eastAsiaTheme="minorHAnsi"/>
        </w:rPr>
        <w:t xml:space="preserve">místo chybějící svislé konstrukce (stěny) se plocha prostoru vymezí pravoúhlým </w:t>
      </w:r>
      <w:r w:rsidRPr="00F44B38">
        <w:t>průmětem</w:t>
      </w:r>
      <w:r w:rsidRPr="007E2FDC">
        <w:rPr>
          <w:rFonts w:eastAsiaTheme="minorHAnsi"/>
        </w:rPr>
        <w:t xml:space="preserve"> obvodu vodorovné nosné konstrukce.</w:t>
      </w:r>
    </w:p>
    <w:p w14:paraId="6D292D2C" w14:textId="77777777" w:rsidR="007E2FDC" w:rsidRPr="007E2FDC" w:rsidRDefault="007E2FDC" w:rsidP="00F44B38">
      <w:pPr>
        <w:pStyle w:val="Dvodovzprva"/>
        <w:spacing w:after="120"/>
        <w:outlineLvl w:val="3"/>
        <w:rPr>
          <w:rFonts w:ascii="Times New Roman" w:hAnsi="Times New Roman"/>
          <w:color w:val="auto"/>
          <w:sz w:val="24"/>
          <w:u w:val="single"/>
        </w:rPr>
      </w:pPr>
      <w:r w:rsidRPr="007E2FDC">
        <w:rPr>
          <w:rFonts w:ascii="Times New Roman" w:hAnsi="Times New Roman"/>
          <w:color w:val="auto"/>
          <w:sz w:val="24"/>
          <w:u w:val="single"/>
        </w:rPr>
        <w:t>K odstavci 3</w:t>
      </w:r>
    </w:p>
    <w:p w14:paraId="5FB6E2B9" w14:textId="77777777" w:rsidR="007E2FDC" w:rsidRPr="007E2FDC" w:rsidRDefault="007E2FDC" w:rsidP="00F44B38">
      <w:pPr>
        <w:tabs>
          <w:tab w:val="left" w:pos="6660"/>
        </w:tabs>
        <w:spacing w:after="120"/>
        <w:jc w:val="both"/>
      </w:pPr>
      <w:r w:rsidRPr="007E2FDC">
        <w:t>V odstavci 3 se pro zjednodušení výpočtu explicitně zakotvuje, že podlahová plocha místnosti se vypočte v m</w:t>
      </w:r>
      <w:r w:rsidRPr="007E2FDC">
        <w:rPr>
          <w:vertAlign w:val="superscript"/>
        </w:rPr>
        <w:t>2</w:t>
      </w:r>
      <w:r w:rsidRPr="007E2FDC">
        <w:t xml:space="preserve"> a zaokrouhlí se na 2 desetinná místa.</w:t>
      </w:r>
    </w:p>
    <w:p w14:paraId="0624C939" w14:textId="5F96E67A" w:rsidR="007E2FDC" w:rsidRPr="007E2FDC" w:rsidRDefault="007E2FDC" w:rsidP="00F44B38">
      <w:pPr>
        <w:tabs>
          <w:tab w:val="left" w:pos="6660"/>
        </w:tabs>
        <w:spacing w:after="120"/>
        <w:jc w:val="both"/>
      </w:pPr>
      <w:r w:rsidRPr="007E2FDC">
        <w:t>K zaokrouhlení dochází již u výpočtu podlahové plochy samotné místnosti s tím, že zaokrouhlení po konečném výpočtu (součtu podlahových ploch stavby nebo části stavby) proto již není zapotřebí. Zaokrouhlení výsledné hodnoty se prová</w:t>
      </w:r>
      <w:r w:rsidR="007F6FEA">
        <w:t>dí na 2 desetinná místa, tedy v </w:t>
      </w:r>
      <w:r w:rsidRPr="007E2FDC">
        <w:t>souladu s matematickými pravidly - pět tisícin m</w:t>
      </w:r>
      <w:r w:rsidRPr="007E2FDC">
        <w:rPr>
          <w:vertAlign w:val="superscript"/>
        </w:rPr>
        <w:t>2</w:t>
      </w:r>
      <w:r w:rsidRPr="007E2FDC">
        <w:t xml:space="preserve"> a více se zaokrouhluje směrem nahoru (přičte se jedna setina), méně než pět tisícin m</w:t>
      </w:r>
      <w:r w:rsidRPr="007E2FDC">
        <w:rPr>
          <w:vertAlign w:val="superscript"/>
        </w:rPr>
        <w:t>2</w:t>
      </w:r>
      <w:r w:rsidRPr="007E2FDC">
        <w:t xml:space="preserve"> se zaokrouhlí dolů (setina se nepřičte).</w:t>
      </w:r>
    </w:p>
    <w:p w14:paraId="4C484667" w14:textId="77777777" w:rsidR="007E2FDC" w:rsidRPr="007E2FDC" w:rsidRDefault="007E2FDC" w:rsidP="00F44B38">
      <w:pPr>
        <w:tabs>
          <w:tab w:val="left" w:pos="6660"/>
        </w:tabs>
        <w:spacing w:after="120"/>
        <w:jc w:val="both"/>
      </w:pPr>
      <w:r w:rsidRPr="007E2FDC">
        <w:t>Příklady zaokrouhlení: 10,484 m</w:t>
      </w:r>
      <w:r w:rsidRPr="007E2FDC">
        <w:rPr>
          <w:vertAlign w:val="superscript"/>
        </w:rPr>
        <w:t>2</w:t>
      </w:r>
      <w:r w:rsidRPr="007E2FDC">
        <w:t xml:space="preserve"> = 10,48 m</w:t>
      </w:r>
      <w:r w:rsidRPr="007E2FDC">
        <w:rPr>
          <w:vertAlign w:val="superscript"/>
        </w:rPr>
        <w:t>2</w:t>
      </w:r>
      <w:r w:rsidRPr="007E2FDC">
        <w:t>; 10,485 m</w:t>
      </w:r>
      <w:r w:rsidRPr="007E2FDC">
        <w:rPr>
          <w:vertAlign w:val="superscript"/>
        </w:rPr>
        <w:t>2</w:t>
      </w:r>
      <w:r w:rsidRPr="007E2FDC">
        <w:t xml:space="preserve"> = 10,49 m</w:t>
      </w:r>
      <w:r w:rsidRPr="007E2FDC">
        <w:rPr>
          <w:vertAlign w:val="superscript"/>
        </w:rPr>
        <w:t>2</w:t>
      </w:r>
      <w:r w:rsidRPr="007E2FDC">
        <w:t>; 10,489 m</w:t>
      </w:r>
      <w:r w:rsidRPr="007E2FDC">
        <w:rPr>
          <w:vertAlign w:val="superscript"/>
        </w:rPr>
        <w:t>2</w:t>
      </w:r>
      <w:r w:rsidRPr="007E2FDC">
        <w:t xml:space="preserve"> = 10,49 m</w:t>
      </w:r>
      <w:r w:rsidRPr="007E2FDC">
        <w:rPr>
          <w:vertAlign w:val="superscript"/>
        </w:rPr>
        <w:t>2</w:t>
      </w:r>
      <w:r w:rsidRPr="007E2FDC">
        <w:t>.</w:t>
      </w:r>
    </w:p>
    <w:p w14:paraId="0BC1CE30" w14:textId="15DB587C" w:rsidR="007E2FDC" w:rsidRPr="007E2FDC" w:rsidRDefault="007E2FDC" w:rsidP="007E2FDC">
      <w:pPr>
        <w:pStyle w:val="Dvodovzprvakbodu"/>
        <w:numPr>
          <w:ilvl w:val="0"/>
          <w:numId w:val="0"/>
        </w:numPr>
        <w:rPr>
          <w:rFonts w:ascii="Times New Roman" w:hAnsi="Times New Roman"/>
          <w:color w:val="auto"/>
          <w:sz w:val="24"/>
        </w:rPr>
      </w:pPr>
      <w:r w:rsidRPr="007E2FDC">
        <w:rPr>
          <w:rFonts w:ascii="Times New Roman" w:hAnsi="Times New Roman"/>
          <w:color w:val="auto"/>
          <w:sz w:val="24"/>
        </w:rPr>
        <w:t>K § 4 (</w:t>
      </w:r>
      <w:r w:rsidR="00A52B85">
        <w:rPr>
          <w:rFonts w:ascii="Times New Roman" w:hAnsi="Times New Roman"/>
          <w:color w:val="auto"/>
          <w:sz w:val="24"/>
        </w:rPr>
        <w:t>Z</w:t>
      </w:r>
      <w:r w:rsidRPr="007E2FDC">
        <w:rPr>
          <w:rFonts w:ascii="Times New Roman" w:hAnsi="Times New Roman"/>
          <w:color w:val="auto"/>
          <w:sz w:val="24"/>
        </w:rPr>
        <w:t xml:space="preserve">působ </w:t>
      </w:r>
      <w:r w:rsidRPr="007E2FDC">
        <w:rPr>
          <w:rFonts w:ascii="Times New Roman" w:hAnsi="Times New Roman"/>
          <w:color w:val="auto"/>
          <w:sz w:val="24"/>
          <w:szCs w:val="24"/>
        </w:rPr>
        <w:t>výpočtu podlahové plochy prostoru)</w:t>
      </w:r>
    </w:p>
    <w:p w14:paraId="250FC914" w14:textId="77777777" w:rsidR="007E2FDC" w:rsidRPr="007E2FDC" w:rsidRDefault="007E2FDC" w:rsidP="00104B45">
      <w:pPr>
        <w:tabs>
          <w:tab w:val="left" w:pos="6660"/>
        </w:tabs>
        <w:spacing w:before="120" w:after="120"/>
        <w:jc w:val="both"/>
      </w:pPr>
      <w:r w:rsidRPr="007E2FDC">
        <w:t>Pro stanovení podlahové plochy prostoru se způsob výpočtu podlahové plochy místnosti použije obdobně s tím, že se v případě chybějící svislé konstrukce (stěny) podlahová plocha vymezí pravoúhlým průmětem obvodu vodorovné nosné konstrukce (zjednodušeně řečeno se tam, kde končí podlaha, kolmo k ní promítne neexistující stěna).</w:t>
      </w:r>
    </w:p>
    <w:p w14:paraId="69A1BC3C" w14:textId="77777777" w:rsidR="007E2FDC" w:rsidRPr="007E2FDC" w:rsidRDefault="007E2FDC" w:rsidP="00F44B38">
      <w:pPr>
        <w:tabs>
          <w:tab w:val="left" w:pos="6660"/>
        </w:tabs>
        <w:spacing w:after="120"/>
        <w:jc w:val="both"/>
      </w:pPr>
      <w:r w:rsidRPr="007E2FDC">
        <w:lastRenderedPageBreak/>
        <w:t>Aplikují se tak pravidla pro prostor s šikmou stěnou/stropem, galerií i zaokrouhlením podlahové plochy daného prostoru. Rovněž v případě prostorů se aplikuje § 2 odst. 3, podle kterého jsou z počítání podlahové plochy vyloučeny některé prostory.</w:t>
      </w:r>
    </w:p>
    <w:p w14:paraId="7CBF3DEF" w14:textId="5E5AC3F3" w:rsidR="007E2FDC" w:rsidRPr="007E2FDC" w:rsidRDefault="007E2FDC" w:rsidP="003F1004">
      <w:pPr>
        <w:pStyle w:val="Dvodovzprvakbodu"/>
        <w:numPr>
          <w:ilvl w:val="0"/>
          <w:numId w:val="0"/>
        </w:numPr>
        <w:rPr>
          <w:rFonts w:ascii="Times New Roman" w:hAnsi="Times New Roman"/>
          <w:color w:val="auto"/>
          <w:sz w:val="24"/>
        </w:rPr>
      </w:pPr>
      <w:r w:rsidRPr="007E2FDC">
        <w:rPr>
          <w:rFonts w:ascii="Times New Roman" w:hAnsi="Times New Roman"/>
          <w:color w:val="auto"/>
          <w:sz w:val="24"/>
        </w:rPr>
        <w:t>K § 5 (</w:t>
      </w:r>
      <w:r w:rsidR="00A52B85">
        <w:rPr>
          <w:rFonts w:ascii="Times New Roman" w:hAnsi="Times New Roman"/>
          <w:color w:val="auto"/>
          <w:sz w:val="24"/>
        </w:rPr>
        <w:t>Ú</w:t>
      </w:r>
      <w:r w:rsidRPr="007E2FDC">
        <w:rPr>
          <w:rFonts w:ascii="Times New Roman" w:hAnsi="Times New Roman"/>
          <w:color w:val="auto"/>
          <w:sz w:val="24"/>
        </w:rPr>
        <w:t>činnost)</w:t>
      </w:r>
    </w:p>
    <w:p w14:paraId="4A8C7FF6" w14:textId="2C17D42A" w:rsidR="007E2FDC" w:rsidRPr="009C0FD5" w:rsidRDefault="007E2FDC" w:rsidP="009C0FD5">
      <w:pPr>
        <w:tabs>
          <w:tab w:val="left" w:pos="6660"/>
        </w:tabs>
        <w:spacing w:before="120" w:after="120"/>
        <w:jc w:val="both"/>
        <w:rPr>
          <w:rFonts w:eastAsiaTheme="minorHAnsi"/>
          <w:szCs w:val="22"/>
        </w:rPr>
      </w:pPr>
      <w:r w:rsidRPr="007E2FDC">
        <w:t xml:space="preserve">Účinnost vyhlášky se navrhuje ke stejnému okamžiku jako účinnost zmocnění k jejímu vydání v zákoně o dani z přidané hodnoty, ve znění zákona č. </w:t>
      </w:r>
      <w:r w:rsidRPr="00F44B38">
        <w:t>461/2024 Sb.,</w:t>
      </w:r>
      <w:r w:rsidRPr="007E2FDC">
        <w:t xml:space="preserve"> a to k 1. červenci 2025.</w:t>
      </w:r>
    </w:p>
    <w:sectPr w:rsidR="007E2FDC" w:rsidRPr="009C0FD5" w:rsidSect="003873A4">
      <w:headerReference w:type="default" r:id="rId11"/>
      <w:footerReference w:type="default" r:id="rId12"/>
      <w:headerReference w:type="first" r:id="rId13"/>
      <w:pgSz w:w="11906" w:h="16838"/>
      <w:pgMar w:top="1417" w:right="1417" w:bottom="1417" w:left="1417"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0ADC0" w14:textId="77777777" w:rsidR="00B26CA5" w:rsidRDefault="00B26CA5" w:rsidP="005D2E08">
      <w:r>
        <w:separator/>
      </w:r>
    </w:p>
  </w:endnote>
  <w:endnote w:type="continuationSeparator" w:id="0">
    <w:p w14:paraId="2C851F1C" w14:textId="77777777" w:rsidR="00B26CA5" w:rsidRDefault="00B26CA5" w:rsidP="005D2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Sans Serif">
    <w:altName w:val="Arial"/>
    <w:panose1 w:val="00000000000000000000"/>
    <w:charset w:val="00"/>
    <w:family w:val="swiss"/>
    <w:notTrueType/>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E96CC" w14:textId="77777777" w:rsidR="00CC519F" w:rsidRPr="000C6665" w:rsidRDefault="00CC519F">
    <w:pPr>
      <w:pStyle w:val="Zpat"/>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AC49E" w14:textId="77777777" w:rsidR="00B26CA5" w:rsidRDefault="00B26CA5" w:rsidP="005D2E08">
      <w:r>
        <w:separator/>
      </w:r>
    </w:p>
  </w:footnote>
  <w:footnote w:type="continuationSeparator" w:id="0">
    <w:p w14:paraId="179D4C69" w14:textId="77777777" w:rsidR="00B26CA5" w:rsidRDefault="00B26CA5" w:rsidP="005D2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5901353"/>
      <w:docPartObj>
        <w:docPartGallery w:val="Page Numbers (Top of Page)"/>
        <w:docPartUnique/>
      </w:docPartObj>
    </w:sdtPr>
    <w:sdtEndPr>
      <w:rPr>
        <w:sz w:val="22"/>
        <w:szCs w:val="22"/>
      </w:rPr>
    </w:sdtEndPr>
    <w:sdtContent>
      <w:p w14:paraId="7837BBC1" w14:textId="29729E6B" w:rsidR="00CC519F" w:rsidRPr="009C0FD5" w:rsidRDefault="00CC519F" w:rsidP="009C0FD5">
        <w:pPr>
          <w:pStyle w:val="Zhlav"/>
          <w:jc w:val="center"/>
          <w:rPr>
            <w:sz w:val="22"/>
            <w:szCs w:val="22"/>
          </w:rPr>
        </w:pPr>
        <w:r w:rsidRPr="00A2656D">
          <w:rPr>
            <w:sz w:val="22"/>
            <w:szCs w:val="22"/>
          </w:rPr>
          <w:fldChar w:fldCharType="begin"/>
        </w:r>
        <w:r w:rsidRPr="00A2656D">
          <w:rPr>
            <w:sz w:val="22"/>
            <w:szCs w:val="22"/>
          </w:rPr>
          <w:instrText>PAGE   \* MERGEFORMAT</w:instrText>
        </w:r>
        <w:r w:rsidRPr="00A2656D">
          <w:rPr>
            <w:sz w:val="22"/>
            <w:szCs w:val="22"/>
          </w:rPr>
          <w:fldChar w:fldCharType="separate"/>
        </w:r>
        <w:r w:rsidR="007F6FEA">
          <w:rPr>
            <w:noProof/>
            <w:sz w:val="22"/>
            <w:szCs w:val="22"/>
          </w:rPr>
          <w:t>- 10 -</w:t>
        </w:r>
        <w:r w:rsidRPr="00A2656D">
          <w:rPr>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E908" w14:textId="77777777" w:rsidR="007F6FEA" w:rsidRPr="005F2E73" w:rsidRDefault="007F6FEA" w:rsidP="007F6FEA">
    <w:pPr>
      <w:pStyle w:val="Zhlav"/>
      <w:jc w:val="right"/>
      <w:rPr>
        <w:b/>
      </w:rPr>
    </w:pPr>
    <w:r w:rsidRPr="005F2E73">
      <w:rPr>
        <w:b/>
      </w:rPr>
      <w:t>III.</w:t>
    </w:r>
  </w:p>
  <w:p w14:paraId="498A08BB" w14:textId="07D6C3F1" w:rsidR="00316AFD" w:rsidRPr="005F2E73" w:rsidRDefault="00316AFD" w:rsidP="005F2E73">
    <w:pPr>
      <w:pStyle w:val="Zhlav"/>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45BD4"/>
    <w:multiLevelType w:val="hybridMultilevel"/>
    <w:tmpl w:val="31ECB15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BD554D"/>
    <w:multiLevelType w:val="hybridMultilevel"/>
    <w:tmpl w:val="4DA66C2C"/>
    <w:lvl w:ilvl="0" w:tplc="3840594C">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2FD37EA"/>
    <w:multiLevelType w:val="hybridMultilevel"/>
    <w:tmpl w:val="1A36045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49953FD"/>
    <w:multiLevelType w:val="hybridMultilevel"/>
    <w:tmpl w:val="90A0B3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AA12565"/>
    <w:multiLevelType w:val="hybridMultilevel"/>
    <w:tmpl w:val="3A180F34"/>
    <w:lvl w:ilvl="0" w:tplc="8892DB5E">
      <w:start w:val="5"/>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C2D7B30"/>
    <w:multiLevelType w:val="hybridMultilevel"/>
    <w:tmpl w:val="738AD40C"/>
    <w:lvl w:ilvl="0" w:tplc="DC28A036">
      <w:start w:val="1"/>
      <w:numFmt w:val="lowerLetter"/>
      <w:lvlText w:val="%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CBC6DCC"/>
    <w:multiLevelType w:val="hybridMultilevel"/>
    <w:tmpl w:val="D048EB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7E346CA"/>
    <w:multiLevelType w:val="hybridMultilevel"/>
    <w:tmpl w:val="D4AA3484"/>
    <w:lvl w:ilvl="0" w:tplc="D040A3B2">
      <w:start w:val="1"/>
      <w:numFmt w:val="bullet"/>
      <w:lvlText w:val="-"/>
      <w:lvlJc w:val="left"/>
      <w:pPr>
        <w:ind w:left="720" w:hanging="360"/>
      </w:pPr>
      <w:rPr>
        <w:rFonts w:ascii="Arial" w:eastAsiaTheme="minorHAnsi" w:hAnsi="Arial" w:cs="Arial" w:hint="default"/>
      </w:rPr>
    </w:lvl>
    <w:lvl w:ilvl="1" w:tplc="ECA4EA1C">
      <w:start w:val="1"/>
      <w:numFmt w:val="bullet"/>
      <w:lvlText w:val="−"/>
      <w:lvlJc w:val="left"/>
      <w:pPr>
        <w:ind w:left="1440" w:hanging="360"/>
      </w:pPr>
      <w:rPr>
        <w:rFonts w:ascii="Arial" w:hAnsi="Aria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961727C"/>
    <w:multiLevelType w:val="hybridMultilevel"/>
    <w:tmpl w:val="A89AA7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F9C077D"/>
    <w:multiLevelType w:val="hybridMultilevel"/>
    <w:tmpl w:val="D07A547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4605B08"/>
    <w:multiLevelType w:val="hybridMultilevel"/>
    <w:tmpl w:val="D07A547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51154A9"/>
    <w:multiLevelType w:val="hybridMultilevel"/>
    <w:tmpl w:val="1E0E6980"/>
    <w:lvl w:ilvl="0" w:tplc="491C3B9A">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45C54C53"/>
    <w:multiLevelType w:val="hybridMultilevel"/>
    <w:tmpl w:val="64B01D18"/>
    <w:lvl w:ilvl="0" w:tplc="0405000F">
      <w:start w:val="1"/>
      <w:numFmt w:val="decimal"/>
      <w:lvlText w:val="%1."/>
      <w:lvlJc w:val="left"/>
      <w:pPr>
        <w:ind w:left="786"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3" w15:restartNumberingAfterBreak="0">
    <w:nsid w:val="482154D6"/>
    <w:multiLevelType w:val="hybridMultilevel"/>
    <w:tmpl w:val="C86C8F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9D52918"/>
    <w:multiLevelType w:val="hybridMultilevel"/>
    <w:tmpl w:val="81D42C5E"/>
    <w:lvl w:ilvl="0" w:tplc="DE562182">
      <w:start w:val="1"/>
      <w:numFmt w:val="lowerLetter"/>
      <w:lvlText w:val="%1)"/>
      <w:lvlJc w:val="left"/>
      <w:pPr>
        <w:ind w:left="108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0AF09AE"/>
    <w:multiLevelType w:val="hybridMultilevel"/>
    <w:tmpl w:val="5BF4F54C"/>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53761C1E"/>
    <w:multiLevelType w:val="hybridMultilevel"/>
    <w:tmpl w:val="DDE4F59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7" w15:restartNumberingAfterBreak="0">
    <w:nsid w:val="54992E1E"/>
    <w:multiLevelType w:val="hybridMultilevel"/>
    <w:tmpl w:val="D07A547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56954C8"/>
    <w:multiLevelType w:val="hybridMultilevel"/>
    <w:tmpl w:val="A9A0DAA4"/>
    <w:lvl w:ilvl="0" w:tplc="04050011">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5731400D"/>
    <w:multiLevelType w:val="hybridMultilevel"/>
    <w:tmpl w:val="002AA48A"/>
    <w:lvl w:ilvl="0" w:tplc="04050001">
      <w:start w:val="1"/>
      <w:numFmt w:val="bullet"/>
      <w:lvlText w:val=""/>
      <w:lvlJc w:val="left"/>
      <w:pPr>
        <w:ind w:left="1070" w:hanging="360"/>
      </w:pPr>
      <w:rPr>
        <w:rFonts w:ascii="Symbol" w:hAnsi="Symbol" w:hint="default"/>
      </w:rPr>
    </w:lvl>
    <w:lvl w:ilvl="1" w:tplc="04050003" w:tentative="1">
      <w:start w:val="1"/>
      <w:numFmt w:val="bullet"/>
      <w:lvlText w:val="o"/>
      <w:lvlJc w:val="left"/>
      <w:pPr>
        <w:ind w:left="1790" w:hanging="360"/>
      </w:pPr>
      <w:rPr>
        <w:rFonts w:ascii="Courier New" w:hAnsi="Courier New" w:cs="Courier New" w:hint="default"/>
      </w:rPr>
    </w:lvl>
    <w:lvl w:ilvl="2" w:tplc="04050005" w:tentative="1">
      <w:start w:val="1"/>
      <w:numFmt w:val="bullet"/>
      <w:lvlText w:val=""/>
      <w:lvlJc w:val="left"/>
      <w:pPr>
        <w:ind w:left="2510" w:hanging="360"/>
      </w:pPr>
      <w:rPr>
        <w:rFonts w:ascii="Wingdings" w:hAnsi="Wingdings" w:hint="default"/>
      </w:rPr>
    </w:lvl>
    <w:lvl w:ilvl="3" w:tplc="04050001" w:tentative="1">
      <w:start w:val="1"/>
      <w:numFmt w:val="bullet"/>
      <w:lvlText w:val=""/>
      <w:lvlJc w:val="left"/>
      <w:pPr>
        <w:ind w:left="3230" w:hanging="360"/>
      </w:pPr>
      <w:rPr>
        <w:rFonts w:ascii="Symbol" w:hAnsi="Symbol" w:hint="default"/>
      </w:rPr>
    </w:lvl>
    <w:lvl w:ilvl="4" w:tplc="04050003" w:tentative="1">
      <w:start w:val="1"/>
      <w:numFmt w:val="bullet"/>
      <w:lvlText w:val="o"/>
      <w:lvlJc w:val="left"/>
      <w:pPr>
        <w:ind w:left="3950" w:hanging="360"/>
      </w:pPr>
      <w:rPr>
        <w:rFonts w:ascii="Courier New" w:hAnsi="Courier New" w:cs="Courier New" w:hint="default"/>
      </w:rPr>
    </w:lvl>
    <w:lvl w:ilvl="5" w:tplc="04050005" w:tentative="1">
      <w:start w:val="1"/>
      <w:numFmt w:val="bullet"/>
      <w:lvlText w:val=""/>
      <w:lvlJc w:val="left"/>
      <w:pPr>
        <w:ind w:left="4670" w:hanging="360"/>
      </w:pPr>
      <w:rPr>
        <w:rFonts w:ascii="Wingdings" w:hAnsi="Wingdings" w:hint="default"/>
      </w:rPr>
    </w:lvl>
    <w:lvl w:ilvl="6" w:tplc="04050001" w:tentative="1">
      <w:start w:val="1"/>
      <w:numFmt w:val="bullet"/>
      <w:lvlText w:val=""/>
      <w:lvlJc w:val="left"/>
      <w:pPr>
        <w:ind w:left="5390" w:hanging="360"/>
      </w:pPr>
      <w:rPr>
        <w:rFonts w:ascii="Symbol" w:hAnsi="Symbol" w:hint="default"/>
      </w:rPr>
    </w:lvl>
    <w:lvl w:ilvl="7" w:tplc="04050003" w:tentative="1">
      <w:start w:val="1"/>
      <w:numFmt w:val="bullet"/>
      <w:lvlText w:val="o"/>
      <w:lvlJc w:val="left"/>
      <w:pPr>
        <w:ind w:left="6110" w:hanging="360"/>
      </w:pPr>
      <w:rPr>
        <w:rFonts w:ascii="Courier New" w:hAnsi="Courier New" w:cs="Courier New" w:hint="default"/>
      </w:rPr>
    </w:lvl>
    <w:lvl w:ilvl="8" w:tplc="04050005" w:tentative="1">
      <w:start w:val="1"/>
      <w:numFmt w:val="bullet"/>
      <w:lvlText w:val=""/>
      <w:lvlJc w:val="left"/>
      <w:pPr>
        <w:ind w:left="6830" w:hanging="360"/>
      </w:pPr>
      <w:rPr>
        <w:rFonts w:ascii="Wingdings" w:hAnsi="Wingdings" w:hint="default"/>
      </w:rPr>
    </w:lvl>
  </w:abstractNum>
  <w:abstractNum w:abstractNumId="20" w15:restartNumberingAfterBreak="0">
    <w:nsid w:val="69F22707"/>
    <w:multiLevelType w:val="hybridMultilevel"/>
    <w:tmpl w:val="E7044852"/>
    <w:lvl w:ilvl="0" w:tplc="57026240">
      <w:start w:val="1"/>
      <w:numFmt w:val="bullet"/>
      <w:lvlText w:val=""/>
      <w:lvlJc w:val="left"/>
      <w:pPr>
        <w:ind w:left="360" w:hanging="360"/>
      </w:pPr>
      <w:rPr>
        <w:rFonts w:ascii="Symbol" w:hAnsi="Symbol" w:hint="default"/>
        <w:color w:val="auto"/>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21" w15:restartNumberingAfterBreak="0">
    <w:nsid w:val="71FB70A6"/>
    <w:multiLevelType w:val="hybridMultilevel"/>
    <w:tmpl w:val="1494C8B0"/>
    <w:lvl w:ilvl="0" w:tplc="AACE21B4">
      <w:start w:val="1"/>
      <w:numFmt w:val="decimal"/>
      <w:pStyle w:val="Dvodovzprvakbodu"/>
      <w:suff w:val="space"/>
      <w:lvlText w:val="K bodu %1"/>
      <w:lvlJc w:val="left"/>
      <w:pPr>
        <w:ind w:left="0" w:firstLine="0"/>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6340141"/>
    <w:multiLevelType w:val="hybridMultilevel"/>
    <w:tmpl w:val="8D50B5FE"/>
    <w:lvl w:ilvl="0" w:tplc="2DA2EC7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15:restartNumberingAfterBreak="0">
    <w:nsid w:val="7A4A39D4"/>
    <w:multiLevelType w:val="hybridMultilevel"/>
    <w:tmpl w:val="D07A547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0"/>
  </w:num>
  <w:num w:numId="3">
    <w:abstractNumId w:val="13"/>
  </w:num>
  <w:num w:numId="4">
    <w:abstractNumId w:val="16"/>
  </w:num>
  <w:num w:numId="5">
    <w:abstractNumId w:val="6"/>
  </w:num>
  <w:num w:numId="6">
    <w:abstractNumId w:val="3"/>
  </w:num>
  <w:num w:numId="7">
    <w:abstractNumId w:val="8"/>
  </w:num>
  <w:num w:numId="8">
    <w:abstractNumId w:val="17"/>
  </w:num>
  <w:num w:numId="9">
    <w:abstractNumId w:val="10"/>
  </w:num>
  <w:num w:numId="10">
    <w:abstractNumId w:val="9"/>
  </w:num>
  <w:num w:numId="11">
    <w:abstractNumId w:val="18"/>
  </w:num>
  <w:num w:numId="12">
    <w:abstractNumId w:val="15"/>
  </w:num>
  <w:num w:numId="13">
    <w:abstractNumId w:val="7"/>
  </w:num>
  <w:num w:numId="14">
    <w:abstractNumId w:val="22"/>
  </w:num>
  <w:num w:numId="15">
    <w:abstractNumId w:val="5"/>
  </w:num>
  <w:num w:numId="16">
    <w:abstractNumId w:val="14"/>
  </w:num>
  <w:num w:numId="17">
    <w:abstractNumId w:val="19"/>
  </w:num>
  <w:num w:numId="18">
    <w:abstractNumId w:val="20"/>
  </w:num>
  <w:num w:numId="19">
    <w:abstractNumId w:val="23"/>
  </w:num>
  <w:num w:numId="20">
    <w:abstractNumId w:val="4"/>
  </w:num>
  <w:num w:numId="21">
    <w:abstractNumId w:val="12"/>
  </w:num>
  <w:num w:numId="22">
    <w:abstractNumId w:val="21"/>
  </w:num>
  <w:num w:numId="23">
    <w:abstractNumId w:val="1"/>
  </w:num>
  <w:num w:numId="2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02B"/>
    <w:rsid w:val="0000086C"/>
    <w:rsid w:val="000030C7"/>
    <w:rsid w:val="00003803"/>
    <w:rsid w:val="00004707"/>
    <w:rsid w:val="00004DEE"/>
    <w:rsid w:val="0000649D"/>
    <w:rsid w:val="00006522"/>
    <w:rsid w:val="00010065"/>
    <w:rsid w:val="0001027C"/>
    <w:rsid w:val="000102D7"/>
    <w:rsid w:val="00010775"/>
    <w:rsid w:val="00010F0D"/>
    <w:rsid w:val="00011B85"/>
    <w:rsid w:val="00012FC6"/>
    <w:rsid w:val="00014273"/>
    <w:rsid w:val="00014343"/>
    <w:rsid w:val="000147DA"/>
    <w:rsid w:val="00015CC1"/>
    <w:rsid w:val="00015E76"/>
    <w:rsid w:val="00017B37"/>
    <w:rsid w:val="000216F7"/>
    <w:rsid w:val="000218CE"/>
    <w:rsid w:val="00021BCD"/>
    <w:rsid w:val="00023615"/>
    <w:rsid w:val="00024230"/>
    <w:rsid w:val="0002450E"/>
    <w:rsid w:val="00024965"/>
    <w:rsid w:val="000254A5"/>
    <w:rsid w:val="00025E4E"/>
    <w:rsid w:val="00032DEA"/>
    <w:rsid w:val="00033E85"/>
    <w:rsid w:val="00035564"/>
    <w:rsid w:val="00036995"/>
    <w:rsid w:val="00037C79"/>
    <w:rsid w:val="00037D09"/>
    <w:rsid w:val="0004114E"/>
    <w:rsid w:val="00041DB5"/>
    <w:rsid w:val="00043775"/>
    <w:rsid w:val="00043AC0"/>
    <w:rsid w:val="00044378"/>
    <w:rsid w:val="00044D1B"/>
    <w:rsid w:val="000452C4"/>
    <w:rsid w:val="00045852"/>
    <w:rsid w:val="00045CF0"/>
    <w:rsid w:val="000461F8"/>
    <w:rsid w:val="00046E08"/>
    <w:rsid w:val="00046FE0"/>
    <w:rsid w:val="00047164"/>
    <w:rsid w:val="00047980"/>
    <w:rsid w:val="00047D80"/>
    <w:rsid w:val="0005149F"/>
    <w:rsid w:val="00052EB3"/>
    <w:rsid w:val="000531DE"/>
    <w:rsid w:val="000539B8"/>
    <w:rsid w:val="00054248"/>
    <w:rsid w:val="000569D3"/>
    <w:rsid w:val="00056B6E"/>
    <w:rsid w:val="00060EE2"/>
    <w:rsid w:val="00061CF0"/>
    <w:rsid w:val="000626E1"/>
    <w:rsid w:val="00062975"/>
    <w:rsid w:val="000629F9"/>
    <w:rsid w:val="00063D0B"/>
    <w:rsid w:val="00063D95"/>
    <w:rsid w:val="000646B7"/>
    <w:rsid w:val="000646C2"/>
    <w:rsid w:val="000656A7"/>
    <w:rsid w:val="00065869"/>
    <w:rsid w:val="0006714B"/>
    <w:rsid w:val="000703AC"/>
    <w:rsid w:val="00070BE4"/>
    <w:rsid w:val="00070DD8"/>
    <w:rsid w:val="00072E5B"/>
    <w:rsid w:val="0007382A"/>
    <w:rsid w:val="000749D2"/>
    <w:rsid w:val="00075666"/>
    <w:rsid w:val="00075D2E"/>
    <w:rsid w:val="00076FB1"/>
    <w:rsid w:val="00077974"/>
    <w:rsid w:val="00077F09"/>
    <w:rsid w:val="00081DB0"/>
    <w:rsid w:val="00081EE9"/>
    <w:rsid w:val="00081F4A"/>
    <w:rsid w:val="000839F3"/>
    <w:rsid w:val="00084583"/>
    <w:rsid w:val="00084688"/>
    <w:rsid w:val="00085F53"/>
    <w:rsid w:val="000862E0"/>
    <w:rsid w:val="00086887"/>
    <w:rsid w:val="00087D33"/>
    <w:rsid w:val="00090CBC"/>
    <w:rsid w:val="000923E1"/>
    <w:rsid w:val="000925B5"/>
    <w:rsid w:val="00092A3C"/>
    <w:rsid w:val="00093740"/>
    <w:rsid w:val="000938F5"/>
    <w:rsid w:val="00093B03"/>
    <w:rsid w:val="000948EF"/>
    <w:rsid w:val="00094EDD"/>
    <w:rsid w:val="00095233"/>
    <w:rsid w:val="00095422"/>
    <w:rsid w:val="00095D2B"/>
    <w:rsid w:val="00096385"/>
    <w:rsid w:val="00096D51"/>
    <w:rsid w:val="00096DF6"/>
    <w:rsid w:val="000A202A"/>
    <w:rsid w:val="000A2E9D"/>
    <w:rsid w:val="000A30EA"/>
    <w:rsid w:val="000A7497"/>
    <w:rsid w:val="000B02EF"/>
    <w:rsid w:val="000B0FCA"/>
    <w:rsid w:val="000B1AA5"/>
    <w:rsid w:val="000B6149"/>
    <w:rsid w:val="000B7F41"/>
    <w:rsid w:val="000C2AC6"/>
    <w:rsid w:val="000C3AE9"/>
    <w:rsid w:val="000C5270"/>
    <w:rsid w:val="000C6665"/>
    <w:rsid w:val="000C7A72"/>
    <w:rsid w:val="000D075A"/>
    <w:rsid w:val="000D137F"/>
    <w:rsid w:val="000D1495"/>
    <w:rsid w:val="000D415B"/>
    <w:rsid w:val="000D43AC"/>
    <w:rsid w:val="000D5301"/>
    <w:rsid w:val="000D5CC3"/>
    <w:rsid w:val="000E0C1E"/>
    <w:rsid w:val="000E230C"/>
    <w:rsid w:val="000E3431"/>
    <w:rsid w:val="000E3779"/>
    <w:rsid w:val="000E37C9"/>
    <w:rsid w:val="000E5ABE"/>
    <w:rsid w:val="000E70F4"/>
    <w:rsid w:val="000F00B6"/>
    <w:rsid w:val="000F0EB5"/>
    <w:rsid w:val="000F115B"/>
    <w:rsid w:val="000F29F5"/>
    <w:rsid w:val="000F30C6"/>
    <w:rsid w:val="000F38CD"/>
    <w:rsid w:val="000F41EB"/>
    <w:rsid w:val="000F5B78"/>
    <w:rsid w:val="000F6224"/>
    <w:rsid w:val="000F6828"/>
    <w:rsid w:val="00101376"/>
    <w:rsid w:val="001032A4"/>
    <w:rsid w:val="001039B6"/>
    <w:rsid w:val="00104B45"/>
    <w:rsid w:val="001053DF"/>
    <w:rsid w:val="00106442"/>
    <w:rsid w:val="00107B10"/>
    <w:rsid w:val="00107BF9"/>
    <w:rsid w:val="00110EAB"/>
    <w:rsid w:val="00111865"/>
    <w:rsid w:val="00116AB7"/>
    <w:rsid w:val="00116B81"/>
    <w:rsid w:val="00121118"/>
    <w:rsid w:val="00121552"/>
    <w:rsid w:val="001218C9"/>
    <w:rsid w:val="00121CD3"/>
    <w:rsid w:val="00123388"/>
    <w:rsid w:val="001239C6"/>
    <w:rsid w:val="00123B60"/>
    <w:rsid w:val="001248AB"/>
    <w:rsid w:val="001260EB"/>
    <w:rsid w:val="001279E1"/>
    <w:rsid w:val="001311E2"/>
    <w:rsid w:val="00131891"/>
    <w:rsid w:val="00132F7C"/>
    <w:rsid w:val="00135B6A"/>
    <w:rsid w:val="00137E7E"/>
    <w:rsid w:val="0014103F"/>
    <w:rsid w:val="001424F8"/>
    <w:rsid w:val="00142F4A"/>
    <w:rsid w:val="00143B07"/>
    <w:rsid w:val="00144352"/>
    <w:rsid w:val="00145DF5"/>
    <w:rsid w:val="001472A5"/>
    <w:rsid w:val="00147989"/>
    <w:rsid w:val="00147C8D"/>
    <w:rsid w:val="001510E8"/>
    <w:rsid w:val="00151931"/>
    <w:rsid w:val="00152957"/>
    <w:rsid w:val="00152B04"/>
    <w:rsid w:val="00154E3C"/>
    <w:rsid w:val="001571DC"/>
    <w:rsid w:val="00157760"/>
    <w:rsid w:val="00157A53"/>
    <w:rsid w:val="00160030"/>
    <w:rsid w:val="00160538"/>
    <w:rsid w:val="001618A3"/>
    <w:rsid w:val="00161A05"/>
    <w:rsid w:val="00162339"/>
    <w:rsid w:val="001627E9"/>
    <w:rsid w:val="0016334A"/>
    <w:rsid w:val="0016411F"/>
    <w:rsid w:val="001657CA"/>
    <w:rsid w:val="0017047B"/>
    <w:rsid w:val="00171A4A"/>
    <w:rsid w:val="00171C01"/>
    <w:rsid w:val="001726CA"/>
    <w:rsid w:val="00172DAB"/>
    <w:rsid w:val="00173389"/>
    <w:rsid w:val="00174279"/>
    <w:rsid w:val="001758FB"/>
    <w:rsid w:val="00175E6C"/>
    <w:rsid w:val="00176989"/>
    <w:rsid w:val="00180FA0"/>
    <w:rsid w:val="00181310"/>
    <w:rsid w:val="0018173D"/>
    <w:rsid w:val="00181E54"/>
    <w:rsid w:val="001870D2"/>
    <w:rsid w:val="0018777F"/>
    <w:rsid w:val="00190C6E"/>
    <w:rsid w:val="00190D6E"/>
    <w:rsid w:val="0019215C"/>
    <w:rsid w:val="001933D0"/>
    <w:rsid w:val="00193826"/>
    <w:rsid w:val="00193BD7"/>
    <w:rsid w:val="0019407F"/>
    <w:rsid w:val="00194484"/>
    <w:rsid w:val="00194818"/>
    <w:rsid w:val="001951B7"/>
    <w:rsid w:val="001971BC"/>
    <w:rsid w:val="001A22D8"/>
    <w:rsid w:val="001A2A2E"/>
    <w:rsid w:val="001A3E05"/>
    <w:rsid w:val="001A56B3"/>
    <w:rsid w:val="001A5908"/>
    <w:rsid w:val="001A5C23"/>
    <w:rsid w:val="001A6D51"/>
    <w:rsid w:val="001A7535"/>
    <w:rsid w:val="001B0737"/>
    <w:rsid w:val="001B0E3E"/>
    <w:rsid w:val="001B25BE"/>
    <w:rsid w:val="001B2F6B"/>
    <w:rsid w:val="001B4054"/>
    <w:rsid w:val="001B51D5"/>
    <w:rsid w:val="001B6FC5"/>
    <w:rsid w:val="001C06EA"/>
    <w:rsid w:val="001C17CA"/>
    <w:rsid w:val="001C1E70"/>
    <w:rsid w:val="001C28DB"/>
    <w:rsid w:val="001C31A0"/>
    <w:rsid w:val="001C6960"/>
    <w:rsid w:val="001C73B6"/>
    <w:rsid w:val="001D1EC2"/>
    <w:rsid w:val="001D4CC5"/>
    <w:rsid w:val="001D6B82"/>
    <w:rsid w:val="001E0645"/>
    <w:rsid w:val="001E09AF"/>
    <w:rsid w:val="001E0A05"/>
    <w:rsid w:val="001E0DC6"/>
    <w:rsid w:val="001E125C"/>
    <w:rsid w:val="001E1E4E"/>
    <w:rsid w:val="001E259D"/>
    <w:rsid w:val="001E41FA"/>
    <w:rsid w:val="001F001E"/>
    <w:rsid w:val="001F09AD"/>
    <w:rsid w:val="001F2CA9"/>
    <w:rsid w:val="001F3EA4"/>
    <w:rsid w:val="001F4E55"/>
    <w:rsid w:val="001F5525"/>
    <w:rsid w:val="001F7C0C"/>
    <w:rsid w:val="00200B80"/>
    <w:rsid w:val="00201E8F"/>
    <w:rsid w:val="00202879"/>
    <w:rsid w:val="00203365"/>
    <w:rsid w:val="00203626"/>
    <w:rsid w:val="00203F5E"/>
    <w:rsid w:val="0020633F"/>
    <w:rsid w:val="002077C5"/>
    <w:rsid w:val="00207D92"/>
    <w:rsid w:val="00210D64"/>
    <w:rsid w:val="00210FB7"/>
    <w:rsid w:val="0021124F"/>
    <w:rsid w:val="00211A52"/>
    <w:rsid w:val="00211B39"/>
    <w:rsid w:val="00211F55"/>
    <w:rsid w:val="0021228C"/>
    <w:rsid w:val="00212556"/>
    <w:rsid w:val="00214CCB"/>
    <w:rsid w:val="00215CF9"/>
    <w:rsid w:val="00216D78"/>
    <w:rsid w:val="0021775F"/>
    <w:rsid w:val="00217C71"/>
    <w:rsid w:val="00217F64"/>
    <w:rsid w:val="00221D7D"/>
    <w:rsid w:val="002239B2"/>
    <w:rsid w:val="0022452A"/>
    <w:rsid w:val="00224D06"/>
    <w:rsid w:val="00226E15"/>
    <w:rsid w:val="00227F7C"/>
    <w:rsid w:val="00231712"/>
    <w:rsid w:val="00231CBC"/>
    <w:rsid w:val="00232D88"/>
    <w:rsid w:val="00232F2C"/>
    <w:rsid w:val="0023301F"/>
    <w:rsid w:val="00234A5D"/>
    <w:rsid w:val="0023651A"/>
    <w:rsid w:val="0023779B"/>
    <w:rsid w:val="0024065A"/>
    <w:rsid w:val="002412A3"/>
    <w:rsid w:val="0024165A"/>
    <w:rsid w:val="00241F95"/>
    <w:rsid w:val="002429F6"/>
    <w:rsid w:val="00242A74"/>
    <w:rsid w:val="00244711"/>
    <w:rsid w:val="0024486F"/>
    <w:rsid w:val="002448B3"/>
    <w:rsid w:val="00252538"/>
    <w:rsid w:val="002555C4"/>
    <w:rsid w:val="00255AAC"/>
    <w:rsid w:val="00255D33"/>
    <w:rsid w:val="0025764D"/>
    <w:rsid w:val="0025777A"/>
    <w:rsid w:val="0026117A"/>
    <w:rsid w:val="00262CF9"/>
    <w:rsid w:val="002640E4"/>
    <w:rsid w:val="00265102"/>
    <w:rsid w:val="002657E9"/>
    <w:rsid w:val="0026671E"/>
    <w:rsid w:val="002673ED"/>
    <w:rsid w:val="00271ACC"/>
    <w:rsid w:val="00271C75"/>
    <w:rsid w:val="002737E0"/>
    <w:rsid w:val="00273D50"/>
    <w:rsid w:val="0027444F"/>
    <w:rsid w:val="002757AB"/>
    <w:rsid w:val="00275CEC"/>
    <w:rsid w:val="00276143"/>
    <w:rsid w:val="00276883"/>
    <w:rsid w:val="0027756B"/>
    <w:rsid w:val="0028146F"/>
    <w:rsid w:val="00281EE1"/>
    <w:rsid w:val="00283E92"/>
    <w:rsid w:val="0028485D"/>
    <w:rsid w:val="00284AB5"/>
    <w:rsid w:val="00284B33"/>
    <w:rsid w:val="00286268"/>
    <w:rsid w:val="0028783C"/>
    <w:rsid w:val="002909FD"/>
    <w:rsid w:val="00290AED"/>
    <w:rsid w:val="00290BE4"/>
    <w:rsid w:val="00291AAB"/>
    <w:rsid w:val="002936F6"/>
    <w:rsid w:val="002937B6"/>
    <w:rsid w:val="002A3018"/>
    <w:rsid w:val="002A31C2"/>
    <w:rsid w:val="002A36E1"/>
    <w:rsid w:val="002A37A7"/>
    <w:rsid w:val="002A3B5D"/>
    <w:rsid w:val="002A449F"/>
    <w:rsid w:val="002A45A3"/>
    <w:rsid w:val="002A543F"/>
    <w:rsid w:val="002A5769"/>
    <w:rsid w:val="002A5A06"/>
    <w:rsid w:val="002A5D7B"/>
    <w:rsid w:val="002A68FE"/>
    <w:rsid w:val="002B0C4B"/>
    <w:rsid w:val="002B10A8"/>
    <w:rsid w:val="002B26A6"/>
    <w:rsid w:val="002B28CE"/>
    <w:rsid w:val="002B3719"/>
    <w:rsid w:val="002B5360"/>
    <w:rsid w:val="002B56AF"/>
    <w:rsid w:val="002B57EC"/>
    <w:rsid w:val="002B6093"/>
    <w:rsid w:val="002B6288"/>
    <w:rsid w:val="002B78FD"/>
    <w:rsid w:val="002C0143"/>
    <w:rsid w:val="002C024F"/>
    <w:rsid w:val="002C07D1"/>
    <w:rsid w:val="002C1BE4"/>
    <w:rsid w:val="002C346C"/>
    <w:rsid w:val="002C5081"/>
    <w:rsid w:val="002C6692"/>
    <w:rsid w:val="002C6C23"/>
    <w:rsid w:val="002C7F95"/>
    <w:rsid w:val="002D0230"/>
    <w:rsid w:val="002D0DEA"/>
    <w:rsid w:val="002D1225"/>
    <w:rsid w:val="002D352C"/>
    <w:rsid w:val="002D4639"/>
    <w:rsid w:val="002D4A2F"/>
    <w:rsid w:val="002D5145"/>
    <w:rsid w:val="002D55AE"/>
    <w:rsid w:val="002D5DF2"/>
    <w:rsid w:val="002D6145"/>
    <w:rsid w:val="002D6E3F"/>
    <w:rsid w:val="002D7033"/>
    <w:rsid w:val="002E22B2"/>
    <w:rsid w:val="002E31D8"/>
    <w:rsid w:val="002E4507"/>
    <w:rsid w:val="002E6254"/>
    <w:rsid w:val="002E6A1C"/>
    <w:rsid w:val="002F3283"/>
    <w:rsid w:val="002F3CE9"/>
    <w:rsid w:val="002F3E0E"/>
    <w:rsid w:val="002F533E"/>
    <w:rsid w:val="002F573D"/>
    <w:rsid w:val="002F5957"/>
    <w:rsid w:val="002F5C81"/>
    <w:rsid w:val="002F62A1"/>
    <w:rsid w:val="002F65C7"/>
    <w:rsid w:val="002F78AB"/>
    <w:rsid w:val="002F7F18"/>
    <w:rsid w:val="00302292"/>
    <w:rsid w:val="0030229F"/>
    <w:rsid w:val="0030320A"/>
    <w:rsid w:val="00303256"/>
    <w:rsid w:val="00304F58"/>
    <w:rsid w:val="00304F9F"/>
    <w:rsid w:val="0030628C"/>
    <w:rsid w:val="00310637"/>
    <w:rsid w:val="003107C4"/>
    <w:rsid w:val="003107D4"/>
    <w:rsid w:val="0031271C"/>
    <w:rsid w:val="00312B58"/>
    <w:rsid w:val="00312C1A"/>
    <w:rsid w:val="00313C1F"/>
    <w:rsid w:val="00313C44"/>
    <w:rsid w:val="00314EB7"/>
    <w:rsid w:val="0031596F"/>
    <w:rsid w:val="0031631A"/>
    <w:rsid w:val="00316AFD"/>
    <w:rsid w:val="00321163"/>
    <w:rsid w:val="00323B56"/>
    <w:rsid w:val="003248AD"/>
    <w:rsid w:val="003248B6"/>
    <w:rsid w:val="003253D0"/>
    <w:rsid w:val="00326CFC"/>
    <w:rsid w:val="0032775A"/>
    <w:rsid w:val="00327A1F"/>
    <w:rsid w:val="00332151"/>
    <w:rsid w:val="00332D0D"/>
    <w:rsid w:val="003337B0"/>
    <w:rsid w:val="00333821"/>
    <w:rsid w:val="003338DB"/>
    <w:rsid w:val="003353A4"/>
    <w:rsid w:val="00336B57"/>
    <w:rsid w:val="0033726E"/>
    <w:rsid w:val="003375A7"/>
    <w:rsid w:val="00337905"/>
    <w:rsid w:val="00341AC3"/>
    <w:rsid w:val="003430EA"/>
    <w:rsid w:val="00344DA6"/>
    <w:rsid w:val="00345618"/>
    <w:rsid w:val="00346755"/>
    <w:rsid w:val="003476E5"/>
    <w:rsid w:val="00347FCA"/>
    <w:rsid w:val="003507C2"/>
    <w:rsid w:val="00351EAD"/>
    <w:rsid w:val="0035307A"/>
    <w:rsid w:val="0035320C"/>
    <w:rsid w:val="00353DD7"/>
    <w:rsid w:val="00354876"/>
    <w:rsid w:val="00355DDA"/>
    <w:rsid w:val="003608C7"/>
    <w:rsid w:val="00361C35"/>
    <w:rsid w:val="00362637"/>
    <w:rsid w:val="00362C37"/>
    <w:rsid w:val="00362EF9"/>
    <w:rsid w:val="00363EDA"/>
    <w:rsid w:val="00364226"/>
    <w:rsid w:val="003642AD"/>
    <w:rsid w:val="00365404"/>
    <w:rsid w:val="003655EA"/>
    <w:rsid w:val="00365960"/>
    <w:rsid w:val="0036598F"/>
    <w:rsid w:val="003661A0"/>
    <w:rsid w:val="00367EE0"/>
    <w:rsid w:val="00372717"/>
    <w:rsid w:val="0037302D"/>
    <w:rsid w:val="0037313C"/>
    <w:rsid w:val="0037504B"/>
    <w:rsid w:val="0037511D"/>
    <w:rsid w:val="00375941"/>
    <w:rsid w:val="003761D6"/>
    <w:rsid w:val="00376A25"/>
    <w:rsid w:val="00377BB9"/>
    <w:rsid w:val="00380D8C"/>
    <w:rsid w:val="003811B9"/>
    <w:rsid w:val="00382634"/>
    <w:rsid w:val="00384030"/>
    <w:rsid w:val="003847F4"/>
    <w:rsid w:val="003856EE"/>
    <w:rsid w:val="003873A4"/>
    <w:rsid w:val="00387436"/>
    <w:rsid w:val="00387A90"/>
    <w:rsid w:val="0039032D"/>
    <w:rsid w:val="0039126B"/>
    <w:rsid w:val="00391415"/>
    <w:rsid w:val="003937D2"/>
    <w:rsid w:val="00393C30"/>
    <w:rsid w:val="003948E9"/>
    <w:rsid w:val="00395C25"/>
    <w:rsid w:val="0039630A"/>
    <w:rsid w:val="0039675C"/>
    <w:rsid w:val="0039740F"/>
    <w:rsid w:val="003A0837"/>
    <w:rsid w:val="003A11AF"/>
    <w:rsid w:val="003A151A"/>
    <w:rsid w:val="003A474F"/>
    <w:rsid w:val="003A6D97"/>
    <w:rsid w:val="003A7221"/>
    <w:rsid w:val="003A7A33"/>
    <w:rsid w:val="003B130F"/>
    <w:rsid w:val="003B323F"/>
    <w:rsid w:val="003B44D9"/>
    <w:rsid w:val="003B5C44"/>
    <w:rsid w:val="003B5D39"/>
    <w:rsid w:val="003B5FF3"/>
    <w:rsid w:val="003B6B71"/>
    <w:rsid w:val="003B7335"/>
    <w:rsid w:val="003C03B6"/>
    <w:rsid w:val="003C0A66"/>
    <w:rsid w:val="003C13FC"/>
    <w:rsid w:val="003C1ADB"/>
    <w:rsid w:val="003C347C"/>
    <w:rsid w:val="003C3B2B"/>
    <w:rsid w:val="003C3C6C"/>
    <w:rsid w:val="003C4492"/>
    <w:rsid w:val="003C61C7"/>
    <w:rsid w:val="003C77F8"/>
    <w:rsid w:val="003D1E9F"/>
    <w:rsid w:val="003D1FC2"/>
    <w:rsid w:val="003D3152"/>
    <w:rsid w:val="003D34BF"/>
    <w:rsid w:val="003D3A01"/>
    <w:rsid w:val="003D3CF4"/>
    <w:rsid w:val="003D6FCB"/>
    <w:rsid w:val="003D6FFC"/>
    <w:rsid w:val="003E0BBF"/>
    <w:rsid w:val="003E1057"/>
    <w:rsid w:val="003E2D0A"/>
    <w:rsid w:val="003E2DE8"/>
    <w:rsid w:val="003E3688"/>
    <w:rsid w:val="003E4423"/>
    <w:rsid w:val="003E4525"/>
    <w:rsid w:val="003E6250"/>
    <w:rsid w:val="003E6CEA"/>
    <w:rsid w:val="003E79A8"/>
    <w:rsid w:val="003F0361"/>
    <w:rsid w:val="003F0532"/>
    <w:rsid w:val="003F065A"/>
    <w:rsid w:val="003F0E52"/>
    <w:rsid w:val="003F1004"/>
    <w:rsid w:val="003F1E66"/>
    <w:rsid w:val="003F21F6"/>
    <w:rsid w:val="003F57DA"/>
    <w:rsid w:val="003F6DAE"/>
    <w:rsid w:val="003F7E2B"/>
    <w:rsid w:val="0040146B"/>
    <w:rsid w:val="0040306D"/>
    <w:rsid w:val="00404286"/>
    <w:rsid w:val="00404CC7"/>
    <w:rsid w:val="00404DCC"/>
    <w:rsid w:val="00405D14"/>
    <w:rsid w:val="00406E10"/>
    <w:rsid w:val="00407A86"/>
    <w:rsid w:val="00410420"/>
    <w:rsid w:val="004107F9"/>
    <w:rsid w:val="00410978"/>
    <w:rsid w:val="00410EFF"/>
    <w:rsid w:val="0041152B"/>
    <w:rsid w:val="00411C00"/>
    <w:rsid w:val="00412D7B"/>
    <w:rsid w:val="00413022"/>
    <w:rsid w:val="00414304"/>
    <w:rsid w:val="00414377"/>
    <w:rsid w:val="00415F52"/>
    <w:rsid w:val="00415FCF"/>
    <w:rsid w:val="00416574"/>
    <w:rsid w:val="00416945"/>
    <w:rsid w:val="0041713F"/>
    <w:rsid w:val="00420850"/>
    <w:rsid w:val="0042113A"/>
    <w:rsid w:val="004238A9"/>
    <w:rsid w:val="0042448D"/>
    <w:rsid w:val="004263C9"/>
    <w:rsid w:val="00426FFC"/>
    <w:rsid w:val="00427CC8"/>
    <w:rsid w:val="00430137"/>
    <w:rsid w:val="00432B35"/>
    <w:rsid w:val="00433A3A"/>
    <w:rsid w:val="0043637B"/>
    <w:rsid w:val="00436775"/>
    <w:rsid w:val="004408A1"/>
    <w:rsid w:val="004419E3"/>
    <w:rsid w:val="0044311E"/>
    <w:rsid w:val="00443444"/>
    <w:rsid w:val="004436C3"/>
    <w:rsid w:val="00443FC8"/>
    <w:rsid w:val="00444721"/>
    <w:rsid w:val="00446F78"/>
    <w:rsid w:val="00450BB0"/>
    <w:rsid w:val="00451E45"/>
    <w:rsid w:val="004530CF"/>
    <w:rsid w:val="004531C0"/>
    <w:rsid w:val="00454172"/>
    <w:rsid w:val="00454C68"/>
    <w:rsid w:val="0045644D"/>
    <w:rsid w:val="0045770B"/>
    <w:rsid w:val="0046266B"/>
    <w:rsid w:val="00462A49"/>
    <w:rsid w:val="00463717"/>
    <w:rsid w:val="00463C23"/>
    <w:rsid w:val="00464389"/>
    <w:rsid w:val="00464FA1"/>
    <w:rsid w:val="00467EFE"/>
    <w:rsid w:val="00471060"/>
    <w:rsid w:val="00472278"/>
    <w:rsid w:val="00472D7F"/>
    <w:rsid w:val="00473069"/>
    <w:rsid w:val="00473A9D"/>
    <w:rsid w:val="00474EC3"/>
    <w:rsid w:val="00476D11"/>
    <w:rsid w:val="00480187"/>
    <w:rsid w:val="0048145F"/>
    <w:rsid w:val="00481B4D"/>
    <w:rsid w:val="00482789"/>
    <w:rsid w:val="004832CE"/>
    <w:rsid w:val="00483771"/>
    <w:rsid w:val="0048408C"/>
    <w:rsid w:val="00484947"/>
    <w:rsid w:val="00485031"/>
    <w:rsid w:val="004851A2"/>
    <w:rsid w:val="00485792"/>
    <w:rsid w:val="004873E3"/>
    <w:rsid w:val="00487BF3"/>
    <w:rsid w:val="00490F87"/>
    <w:rsid w:val="00491D78"/>
    <w:rsid w:val="00493706"/>
    <w:rsid w:val="00494194"/>
    <w:rsid w:val="0049715F"/>
    <w:rsid w:val="004A03EE"/>
    <w:rsid w:val="004A20A1"/>
    <w:rsid w:val="004A2A99"/>
    <w:rsid w:val="004A2DCA"/>
    <w:rsid w:val="004A4BE9"/>
    <w:rsid w:val="004A5628"/>
    <w:rsid w:val="004A6E93"/>
    <w:rsid w:val="004A735D"/>
    <w:rsid w:val="004B0311"/>
    <w:rsid w:val="004B21E6"/>
    <w:rsid w:val="004B24FB"/>
    <w:rsid w:val="004B39AE"/>
    <w:rsid w:val="004B4919"/>
    <w:rsid w:val="004B4BEC"/>
    <w:rsid w:val="004B4F4C"/>
    <w:rsid w:val="004B5D0C"/>
    <w:rsid w:val="004B5D28"/>
    <w:rsid w:val="004B7EC9"/>
    <w:rsid w:val="004C0973"/>
    <w:rsid w:val="004C0F8E"/>
    <w:rsid w:val="004C0FA7"/>
    <w:rsid w:val="004C20EE"/>
    <w:rsid w:val="004C2606"/>
    <w:rsid w:val="004C2C09"/>
    <w:rsid w:val="004C2E0A"/>
    <w:rsid w:val="004C3897"/>
    <w:rsid w:val="004C5B64"/>
    <w:rsid w:val="004C5E10"/>
    <w:rsid w:val="004C6197"/>
    <w:rsid w:val="004C6E2F"/>
    <w:rsid w:val="004D0148"/>
    <w:rsid w:val="004D1764"/>
    <w:rsid w:val="004D210E"/>
    <w:rsid w:val="004D2226"/>
    <w:rsid w:val="004D2BA1"/>
    <w:rsid w:val="004D3BDF"/>
    <w:rsid w:val="004D4170"/>
    <w:rsid w:val="004D53C5"/>
    <w:rsid w:val="004D59D5"/>
    <w:rsid w:val="004D7862"/>
    <w:rsid w:val="004E0CB5"/>
    <w:rsid w:val="004E1F27"/>
    <w:rsid w:val="004E2CCF"/>
    <w:rsid w:val="004E3CD5"/>
    <w:rsid w:val="004E3E5C"/>
    <w:rsid w:val="004E41F8"/>
    <w:rsid w:val="004E4F2D"/>
    <w:rsid w:val="004E529C"/>
    <w:rsid w:val="004E6257"/>
    <w:rsid w:val="004F2E50"/>
    <w:rsid w:val="004F3060"/>
    <w:rsid w:val="004F4D23"/>
    <w:rsid w:val="004F5673"/>
    <w:rsid w:val="004F5D1B"/>
    <w:rsid w:val="004F6263"/>
    <w:rsid w:val="00500600"/>
    <w:rsid w:val="00500705"/>
    <w:rsid w:val="0050495A"/>
    <w:rsid w:val="00504AF2"/>
    <w:rsid w:val="00504B61"/>
    <w:rsid w:val="00506F1B"/>
    <w:rsid w:val="005107E2"/>
    <w:rsid w:val="005119C8"/>
    <w:rsid w:val="005128A3"/>
    <w:rsid w:val="00513BCD"/>
    <w:rsid w:val="00513FD5"/>
    <w:rsid w:val="00515D8F"/>
    <w:rsid w:val="00516CD1"/>
    <w:rsid w:val="00517743"/>
    <w:rsid w:val="00517AAB"/>
    <w:rsid w:val="0052060A"/>
    <w:rsid w:val="00521677"/>
    <w:rsid w:val="00521A30"/>
    <w:rsid w:val="00521BDC"/>
    <w:rsid w:val="00523347"/>
    <w:rsid w:val="00523356"/>
    <w:rsid w:val="005237FF"/>
    <w:rsid w:val="005244F8"/>
    <w:rsid w:val="0052492A"/>
    <w:rsid w:val="005268EC"/>
    <w:rsid w:val="00530049"/>
    <w:rsid w:val="00530564"/>
    <w:rsid w:val="00531215"/>
    <w:rsid w:val="00531899"/>
    <w:rsid w:val="00532777"/>
    <w:rsid w:val="00532DF4"/>
    <w:rsid w:val="005334E5"/>
    <w:rsid w:val="00533E13"/>
    <w:rsid w:val="00534054"/>
    <w:rsid w:val="00534913"/>
    <w:rsid w:val="00535F9B"/>
    <w:rsid w:val="005437B0"/>
    <w:rsid w:val="005442CA"/>
    <w:rsid w:val="005455AF"/>
    <w:rsid w:val="00546AA1"/>
    <w:rsid w:val="005474F9"/>
    <w:rsid w:val="00550A85"/>
    <w:rsid w:val="005514DF"/>
    <w:rsid w:val="00551CF4"/>
    <w:rsid w:val="0055337D"/>
    <w:rsid w:val="00553C39"/>
    <w:rsid w:val="0055464C"/>
    <w:rsid w:val="00561A8E"/>
    <w:rsid w:val="00565A4D"/>
    <w:rsid w:val="00566D9B"/>
    <w:rsid w:val="00567151"/>
    <w:rsid w:val="00570287"/>
    <w:rsid w:val="0057072B"/>
    <w:rsid w:val="005709C8"/>
    <w:rsid w:val="00571341"/>
    <w:rsid w:val="005739D6"/>
    <w:rsid w:val="00574598"/>
    <w:rsid w:val="00574EBE"/>
    <w:rsid w:val="00574FF5"/>
    <w:rsid w:val="005761C4"/>
    <w:rsid w:val="005764A6"/>
    <w:rsid w:val="005771F0"/>
    <w:rsid w:val="00577ED7"/>
    <w:rsid w:val="00581826"/>
    <w:rsid w:val="00581A32"/>
    <w:rsid w:val="00581D0C"/>
    <w:rsid w:val="005826B4"/>
    <w:rsid w:val="005827D0"/>
    <w:rsid w:val="0058298D"/>
    <w:rsid w:val="00583B47"/>
    <w:rsid w:val="005843D3"/>
    <w:rsid w:val="0058448B"/>
    <w:rsid w:val="00585A1C"/>
    <w:rsid w:val="00585BB6"/>
    <w:rsid w:val="00586882"/>
    <w:rsid w:val="00587248"/>
    <w:rsid w:val="00587AE7"/>
    <w:rsid w:val="005905B3"/>
    <w:rsid w:val="0059215A"/>
    <w:rsid w:val="00594A7D"/>
    <w:rsid w:val="00595B15"/>
    <w:rsid w:val="00595C47"/>
    <w:rsid w:val="005964A2"/>
    <w:rsid w:val="005A0193"/>
    <w:rsid w:val="005A05D9"/>
    <w:rsid w:val="005B040A"/>
    <w:rsid w:val="005B087D"/>
    <w:rsid w:val="005B0B8E"/>
    <w:rsid w:val="005B3D8C"/>
    <w:rsid w:val="005B4B68"/>
    <w:rsid w:val="005C0375"/>
    <w:rsid w:val="005C077B"/>
    <w:rsid w:val="005C1CA1"/>
    <w:rsid w:val="005C1F68"/>
    <w:rsid w:val="005C2FE3"/>
    <w:rsid w:val="005C3FE5"/>
    <w:rsid w:val="005C61A6"/>
    <w:rsid w:val="005C63C9"/>
    <w:rsid w:val="005C6FDF"/>
    <w:rsid w:val="005D02A3"/>
    <w:rsid w:val="005D0380"/>
    <w:rsid w:val="005D041F"/>
    <w:rsid w:val="005D2E08"/>
    <w:rsid w:val="005D311C"/>
    <w:rsid w:val="005D3D2B"/>
    <w:rsid w:val="005D404B"/>
    <w:rsid w:val="005D45CC"/>
    <w:rsid w:val="005D471C"/>
    <w:rsid w:val="005D48BD"/>
    <w:rsid w:val="005D49A7"/>
    <w:rsid w:val="005D5420"/>
    <w:rsid w:val="005D5936"/>
    <w:rsid w:val="005D6347"/>
    <w:rsid w:val="005D7137"/>
    <w:rsid w:val="005E10A3"/>
    <w:rsid w:val="005E19DA"/>
    <w:rsid w:val="005E25EC"/>
    <w:rsid w:val="005E3BBA"/>
    <w:rsid w:val="005E3BE7"/>
    <w:rsid w:val="005E4D82"/>
    <w:rsid w:val="005E52BD"/>
    <w:rsid w:val="005E5DED"/>
    <w:rsid w:val="005E61E3"/>
    <w:rsid w:val="005E6588"/>
    <w:rsid w:val="005F06D1"/>
    <w:rsid w:val="005F1918"/>
    <w:rsid w:val="005F2564"/>
    <w:rsid w:val="005F2E73"/>
    <w:rsid w:val="005F48D4"/>
    <w:rsid w:val="005F4940"/>
    <w:rsid w:val="005F4E79"/>
    <w:rsid w:val="005F5533"/>
    <w:rsid w:val="005F566C"/>
    <w:rsid w:val="005F5F81"/>
    <w:rsid w:val="005F6409"/>
    <w:rsid w:val="005F7286"/>
    <w:rsid w:val="00600C01"/>
    <w:rsid w:val="00600D5A"/>
    <w:rsid w:val="00602082"/>
    <w:rsid w:val="00602AE5"/>
    <w:rsid w:val="00603EDB"/>
    <w:rsid w:val="00604955"/>
    <w:rsid w:val="00605B00"/>
    <w:rsid w:val="00606A04"/>
    <w:rsid w:val="00607DA0"/>
    <w:rsid w:val="00610110"/>
    <w:rsid w:val="0061087A"/>
    <w:rsid w:val="00610A89"/>
    <w:rsid w:val="0061350E"/>
    <w:rsid w:val="00614149"/>
    <w:rsid w:val="006146C1"/>
    <w:rsid w:val="00616404"/>
    <w:rsid w:val="00616E33"/>
    <w:rsid w:val="006203F7"/>
    <w:rsid w:val="00622347"/>
    <w:rsid w:val="006224F1"/>
    <w:rsid w:val="00623452"/>
    <w:rsid w:val="00623956"/>
    <w:rsid w:val="00623E11"/>
    <w:rsid w:val="0062408A"/>
    <w:rsid w:val="00624648"/>
    <w:rsid w:val="006252E1"/>
    <w:rsid w:val="00625452"/>
    <w:rsid w:val="00625493"/>
    <w:rsid w:val="0062556E"/>
    <w:rsid w:val="0062683A"/>
    <w:rsid w:val="006271AA"/>
    <w:rsid w:val="00627A57"/>
    <w:rsid w:val="00630A6C"/>
    <w:rsid w:val="00630CB6"/>
    <w:rsid w:val="00630E76"/>
    <w:rsid w:val="00631076"/>
    <w:rsid w:val="00631FAA"/>
    <w:rsid w:val="006322A6"/>
    <w:rsid w:val="00632FE0"/>
    <w:rsid w:val="00633FEF"/>
    <w:rsid w:val="006344C9"/>
    <w:rsid w:val="00634FEA"/>
    <w:rsid w:val="00635C14"/>
    <w:rsid w:val="006361DC"/>
    <w:rsid w:val="0063747F"/>
    <w:rsid w:val="00637554"/>
    <w:rsid w:val="00644027"/>
    <w:rsid w:val="00645965"/>
    <w:rsid w:val="00645ECF"/>
    <w:rsid w:val="0064605E"/>
    <w:rsid w:val="00646121"/>
    <w:rsid w:val="00646F38"/>
    <w:rsid w:val="0065056C"/>
    <w:rsid w:val="00651148"/>
    <w:rsid w:val="006520DF"/>
    <w:rsid w:val="006526A1"/>
    <w:rsid w:val="00653033"/>
    <w:rsid w:val="00653C74"/>
    <w:rsid w:val="00654314"/>
    <w:rsid w:val="006548D3"/>
    <w:rsid w:val="00656B4D"/>
    <w:rsid w:val="006574FD"/>
    <w:rsid w:val="00660AA4"/>
    <w:rsid w:val="00661FFC"/>
    <w:rsid w:val="0066255A"/>
    <w:rsid w:val="00663E20"/>
    <w:rsid w:val="006672CF"/>
    <w:rsid w:val="00667871"/>
    <w:rsid w:val="0067084C"/>
    <w:rsid w:val="006712B5"/>
    <w:rsid w:val="0067146F"/>
    <w:rsid w:val="00672209"/>
    <w:rsid w:val="0067390C"/>
    <w:rsid w:val="00674252"/>
    <w:rsid w:val="006753CC"/>
    <w:rsid w:val="00676E50"/>
    <w:rsid w:val="0068087D"/>
    <w:rsid w:val="0068132B"/>
    <w:rsid w:val="00681931"/>
    <w:rsid w:val="006832E3"/>
    <w:rsid w:val="00683351"/>
    <w:rsid w:val="006841DB"/>
    <w:rsid w:val="006847F5"/>
    <w:rsid w:val="00686CE7"/>
    <w:rsid w:val="00687A85"/>
    <w:rsid w:val="00691819"/>
    <w:rsid w:val="00691A20"/>
    <w:rsid w:val="00692285"/>
    <w:rsid w:val="00695914"/>
    <w:rsid w:val="0069685F"/>
    <w:rsid w:val="00696C7D"/>
    <w:rsid w:val="00696F50"/>
    <w:rsid w:val="0069702C"/>
    <w:rsid w:val="00697541"/>
    <w:rsid w:val="00697624"/>
    <w:rsid w:val="006A0B08"/>
    <w:rsid w:val="006A1C99"/>
    <w:rsid w:val="006A2952"/>
    <w:rsid w:val="006A2E42"/>
    <w:rsid w:val="006A3D61"/>
    <w:rsid w:val="006A4D99"/>
    <w:rsid w:val="006A59E4"/>
    <w:rsid w:val="006A778C"/>
    <w:rsid w:val="006A7F89"/>
    <w:rsid w:val="006B0AE1"/>
    <w:rsid w:val="006B17FA"/>
    <w:rsid w:val="006B3AAE"/>
    <w:rsid w:val="006B403C"/>
    <w:rsid w:val="006B415F"/>
    <w:rsid w:val="006B7594"/>
    <w:rsid w:val="006C128C"/>
    <w:rsid w:val="006C2783"/>
    <w:rsid w:val="006C2C95"/>
    <w:rsid w:val="006C2E3F"/>
    <w:rsid w:val="006C3BA5"/>
    <w:rsid w:val="006C5893"/>
    <w:rsid w:val="006C6626"/>
    <w:rsid w:val="006C72F4"/>
    <w:rsid w:val="006C7AC8"/>
    <w:rsid w:val="006D0A3D"/>
    <w:rsid w:val="006D18C4"/>
    <w:rsid w:val="006D2419"/>
    <w:rsid w:val="006D645C"/>
    <w:rsid w:val="006E04B9"/>
    <w:rsid w:val="006E058F"/>
    <w:rsid w:val="006E06E5"/>
    <w:rsid w:val="006E0DB0"/>
    <w:rsid w:val="006E1DDD"/>
    <w:rsid w:val="006E3428"/>
    <w:rsid w:val="006E3CE3"/>
    <w:rsid w:val="006E3DB8"/>
    <w:rsid w:val="006E43C0"/>
    <w:rsid w:val="006E4745"/>
    <w:rsid w:val="006E4B82"/>
    <w:rsid w:val="006E4EBD"/>
    <w:rsid w:val="006E5587"/>
    <w:rsid w:val="006E684C"/>
    <w:rsid w:val="006F0BC6"/>
    <w:rsid w:val="006F1B26"/>
    <w:rsid w:val="006F1C5E"/>
    <w:rsid w:val="006F350C"/>
    <w:rsid w:val="006F36C6"/>
    <w:rsid w:val="006F3ABF"/>
    <w:rsid w:val="006F44C0"/>
    <w:rsid w:val="006F4A41"/>
    <w:rsid w:val="006F4AA5"/>
    <w:rsid w:val="006F555B"/>
    <w:rsid w:val="006F712A"/>
    <w:rsid w:val="006F72CF"/>
    <w:rsid w:val="006F7C52"/>
    <w:rsid w:val="007010B9"/>
    <w:rsid w:val="0070360D"/>
    <w:rsid w:val="007037B7"/>
    <w:rsid w:val="00703E01"/>
    <w:rsid w:val="00704D4C"/>
    <w:rsid w:val="00704FAC"/>
    <w:rsid w:val="0070524A"/>
    <w:rsid w:val="00705380"/>
    <w:rsid w:val="00705E18"/>
    <w:rsid w:val="00706CED"/>
    <w:rsid w:val="00707DA3"/>
    <w:rsid w:val="00710BAB"/>
    <w:rsid w:val="00714E63"/>
    <w:rsid w:val="007152D5"/>
    <w:rsid w:val="00715903"/>
    <w:rsid w:val="00715F9A"/>
    <w:rsid w:val="007162FC"/>
    <w:rsid w:val="00717160"/>
    <w:rsid w:val="0071767C"/>
    <w:rsid w:val="007207E5"/>
    <w:rsid w:val="00723694"/>
    <w:rsid w:val="0072420D"/>
    <w:rsid w:val="007245BC"/>
    <w:rsid w:val="00724E58"/>
    <w:rsid w:val="0072700D"/>
    <w:rsid w:val="00727033"/>
    <w:rsid w:val="007313E6"/>
    <w:rsid w:val="007333C2"/>
    <w:rsid w:val="00734942"/>
    <w:rsid w:val="00734CC4"/>
    <w:rsid w:val="00741332"/>
    <w:rsid w:val="0074558A"/>
    <w:rsid w:val="00745EE4"/>
    <w:rsid w:val="0074656F"/>
    <w:rsid w:val="0074686C"/>
    <w:rsid w:val="00746DE2"/>
    <w:rsid w:val="0074717F"/>
    <w:rsid w:val="007479DD"/>
    <w:rsid w:val="00751572"/>
    <w:rsid w:val="00753A0A"/>
    <w:rsid w:val="0075513C"/>
    <w:rsid w:val="00755E4A"/>
    <w:rsid w:val="0075658C"/>
    <w:rsid w:val="007569C6"/>
    <w:rsid w:val="00756A4B"/>
    <w:rsid w:val="0075701A"/>
    <w:rsid w:val="00761AEF"/>
    <w:rsid w:val="007635CB"/>
    <w:rsid w:val="007644E8"/>
    <w:rsid w:val="00764D77"/>
    <w:rsid w:val="0076576C"/>
    <w:rsid w:val="00765DD5"/>
    <w:rsid w:val="00766165"/>
    <w:rsid w:val="00766B26"/>
    <w:rsid w:val="00766D1D"/>
    <w:rsid w:val="00766E1A"/>
    <w:rsid w:val="00771871"/>
    <w:rsid w:val="00771DDC"/>
    <w:rsid w:val="00772F8E"/>
    <w:rsid w:val="007735CB"/>
    <w:rsid w:val="00773895"/>
    <w:rsid w:val="00773B3B"/>
    <w:rsid w:val="00774A0A"/>
    <w:rsid w:val="007754C2"/>
    <w:rsid w:val="00775A2D"/>
    <w:rsid w:val="00775DFF"/>
    <w:rsid w:val="00775E52"/>
    <w:rsid w:val="00776120"/>
    <w:rsid w:val="00780C46"/>
    <w:rsid w:val="00781CF1"/>
    <w:rsid w:val="0078481B"/>
    <w:rsid w:val="00785472"/>
    <w:rsid w:val="00786101"/>
    <w:rsid w:val="00790AAB"/>
    <w:rsid w:val="00791B51"/>
    <w:rsid w:val="0079423A"/>
    <w:rsid w:val="00795FB5"/>
    <w:rsid w:val="007961C5"/>
    <w:rsid w:val="0079620D"/>
    <w:rsid w:val="00796A9A"/>
    <w:rsid w:val="007A20A2"/>
    <w:rsid w:val="007A3848"/>
    <w:rsid w:val="007A465E"/>
    <w:rsid w:val="007A478E"/>
    <w:rsid w:val="007A5B22"/>
    <w:rsid w:val="007A6178"/>
    <w:rsid w:val="007B10A1"/>
    <w:rsid w:val="007B370F"/>
    <w:rsid w:val="007B4D1A"/>
    <w:rsid w:val="007B57E7"/>
    <w:rsid w:val="007C0A8E"/>
    <w:rsid w:val="007C1A6F"/>
    <w:rsid w:val="007C42AA"/>
    <w:rsid w:val="007C4BE8"/>
    <w:rsid w:val="007C5140"/>
    <w:rsid w:val="007C72DD"/>
    <w:rsid w:val="007C7B30"/>
    <w:rsid w:val="007D11C9"/>
    <w:rsid w:val="007D1332"/>
    <w:rsid w:val="007D14E6"/>
    <w:rsid w:val="007D288C"/>
    <w:rsid w:val="007D321B"/>
    <w:rsid w:val="007D380D"/>
    <w:rsid w:val="007D392C"/>
    <w:rsid w:val="007D3EB3"/>
    <w:rsid w:val="007D3F42"/>
    <w:rsid w:val="007D458B"/>
    <w:rsid w:val="007D4953"/>
    <w:rsid w:val="007D4C97"/>
    <w:rsid w:val="007D58D3"/>
    <w:rsid w:val="007D7570"/>
    <w:rsid w:val="007E2072"/>
    <w:rsid w:val="007E2BE0"/>
    <w:rsid w:val="007E2FDC"/>
    <w:rsid w:val="007E3698"/>
    <w:rsid w:val="007E437A"/>
    <w:rsid w:val="007E4AE5"/>
    <w:rsid w:val="007E5CE0"/>
    <w:rsid w:val="007E5F53"/>
    <w:rsid w:val="007E60D8"/>
    <w:rsid w:val="007E7001"/>
    <w:rsid w:val="007F1EA6"/>
    <w:rsid w:val="007F33A9"/>
    <w:rsid w:val="007F3462"/>
    <w:rsid w:val="007F3F05"/>
    <w:rsid w:val="007F4269"/>
    <w:rsid w:val="007F5097"/>
    <w:rsid w:val="007F5118"/>
    <w:rsid w:val="007F5F33"/>
    <w:rsid w:val="007F6830"/>
    <w:rsid w:val="007F6FEA"/>
    <w:rsid w:val="00801B46"/>
    <w:rsid w:val="00801BAC"/>
    <w:rsid w:val="008025E4"/>
    <w:rsid w:val="008032CD"/>
    <w:rsid w:val="00804B86"/>
    <w:rsid w:val="00804CFF"/>
    <w:rsid w:val="0080662D"/>
    <w:rsid w:val="0080720A"/>
    <w:rsid w:val="0080759C"/>
    <w:rsid w:val="00807D24"/>
    <w:rsid w:val="00807F30"/>
    <w:rsid w:val="008105CC"/>
    <w:rsid w:val="0081147C"/>
    <w:rsid w:val="00812BDF"/>
    <w:rsid w:val="00813074"/>
    <w:rsid w:val="00813C34"/>
    <w:rsid w:val="0081604E"/>
    <w:rsid w:val="00816FA8"/>
    <w:rsid w:val="008176A4"/>
    <w:rsid w:val="00820D12"/>
    <w:rsid w:val="00822C67"/>
    <w:rsid w:val="0082396E"/>
    <w:rsid w:val="00823D0D"/>
    <w:rsid w:val="008274D0"/>
    <w:rsid w:val="008313E8"/>
    <w:rsid w:val="008313F6"/>
    <w:rsid w:val="008316D7"/>
    <w:rsid w:val="00831C04"/>
    <w:rsid w:val="00831CDA"/>
    <w:rsid w:val="00831FB9"/>
    <w:rsid w:val="00832BE5"/>
    <w:rsid w:val="008345EA"/>
    <w:rsid w:val="008348EC"/>
    <w:rsid w:val="00834EF7"/>
    <w:rsid w:val="008355BA"/>
    <w:rsid w:val="0083740B"/>
    <w:rsid w:val="008406F3"/>
    <w:rsid w:val="0084177C"/>
    <w:rsid w:val="008462E8"/>
    <w:rsid w:val="00846836"/>
    <w:rsid w:val="0085087C"/>
    <w:rsid w:val="00850C19"/>
    <w:rsid w:val="00851C9E"/>
    <w:rsid w:val="008520AD"/>
    <w:rsid w:val="00852732"/>
    <w:rsid w:val="0085468B"/>
    <w:rsid w:val="00855E04"/>
    <w:rsid w:val="0085646C"/>
    <w:rsid w:val="00861C99"/>
    <w:rsid w:val="0086215D"/>
    <w:rsid w:val="00865752"/>
    <w:rsid w:val="00867D19"/>
    <w:rsid w:val="00872036"/>
    <w:rsid w:val="008729DF"/>
    <w:rsid w:val="00873E49"/>
    <w:rsid w:val="00875947"/>
    <w:rsid w:val="00875FF9"/>
    <w:rsid w:val="008765E2"/>
    <w:rsid w:val="0088050C"/>
    <w:rsid w:val="008806D7"/>
    <w:rsid w:val="0088093B"/>
    <w:rsid w:val="00880AC2"/>
    <w:rsid w:val="00880DF3"/>
    <w:rsid w:val="0088111C"/>
    <w:rsid w:val="00881631"/>
    <w:rsid w:val="00883972"/>
    <w:rsid w:val="00883B96"/>
    <w:rsid w:val="00883FF2"/>
    <w:rsid w:val="008845EC"/>
    <w:rsid w:val="008861CF"/>
    <w:rsid w:val="008869F9"/>
    <w:rsid w:val="00886FDF"/>
    <w:rsid w:val="008878A7"/>
    <w:rsid w:val="00887C08"/>
    <w:rsid w:val="008902E0"/>
    <w:rsid w:val="00890B71"/>
    <w:rsid w:val="00892A31"/>
    <w:rsid w:val="0089598A"/>
    <w:rsid w:val="008959CB"/>
    <w:rsid w:val="00896BEE"/>
    <w:rsid w:val="00896E1E"/>
    <w:rsid w:val="00897842"/>
    <w:rsid w:val="00897A4C"/>
    <w:rsid w:val="00897ED7"/>
    <w:rsid w:val="008A2EC0"/>
    <w:rsid w:val="008A3A56"/>
    <w:rsid w:val="008A5116"/>
    <w:rsid w:val="008A554D"/>
    <w:rsid w:val="008A6919"/>
    <w:rsid w:val="008B257F"/>
    <w:rsid w:val="008B316A"/>
    <w:rsid w:val="008B3C04"/>
    <w:rsid w:val="008B52B3"/>
    <w:rsid w:val="008B5861"/>
    <w:rsid w:val="008B58CE"/>
    <w:rsid w:val="008B5ABF"/>
    <w:rsid w:val="008B5BBB"/>
    <w:rsid w:val="008B7472"/>
    <w:rsid w:val="008B7730"/>
    <w:rsid w:val="008C1B14"/>
    <w:rsid w:val="008C1FB4"/>
    <w:rsid w:val="008C29C7"/>
    <w:rsid w:val="008C2D0D"/>
    <w:rsid w:val="008C3944"/>
    <w:rsid w:val="008C5640"/>
    <w:rsid w:val="008C5C5C"/>
    <w:rsid w:val="008C60C5"/>
    <w:rsid w:val="008C67D7"/>
    <w:rsid w:val="008C6D2F"/>
    <w:rsid w:val="008C742D"/>
    <w:rsid w:val="008C7663"/>
    <w:rsid w:val="008C7E9D"/>
    <w:rsid w:val="008D192A"/>
    <w:rsid w:val="008D20F2"/>
    <w:rsid w:val="008D256C"/>
    <w:rsid w:val="008D28A3"/>
    <w:rsid w:val="008D3762"/>
    <w:rsid w:val="008D37CB"/>
    <w:rsid w:val="008D439F"/>
    <w:rsid w:val="008D4A29"/>
    <w:rsid w:val="008D5304"/>
    <w:rsid w:val="008D56ED"/>
    <w:rsid w:val="008D62E5"/>
    <w:rsid w:val="008E051B"/>
    <w:rsid w:val="008E1C05"/>
    <w:rsid w:val="008F00BA"/>
    <w:rsid w:val="008F027B"/>
    <w:rsid w:val="008F0385"/>
    <w:rsid w:val="008F0892"/>
    <w:rsid w:val="008F311B"/>
    <w:rsid w:val="008F3AAB"/>
    <w:rsid w:val="008F4D0F"/>
    <w:rsid w:val="008F5BF6"/>
    <w:rsid w:val="008F60B6"/>
    <w:rsid w:val="008F6CF3"/>
    <w:rsid w:val="00900531"/>
    <w:rsid w:val="00900D57"/>
    <w:rsid w:val="00900D81"/>
    <w:rsid w:val="009027BD"/>
    <w:rsid w:val="009028E3"/>
    <w:rsid w:val="009029F6"/>
    <w:rsid w:val="00902CF6"/>
    <w:rsid w:val="00905AD8"/>
    <w:rsid w:val="0090671F"/>
    <w:rsid w:val="0090672A"/>
    <w:rsid w:val="00910B73"/>
    <w:rsid w:val="00910BD8"/>
    <w:rsid w:val="00911697"/>
    <w:rsid w:val="00911F71"/>
    <w:rsid w:val="0091340C"/>
    <w:rsid w:val="009135F9"/>
    <w:rsid w:val="00913890"/>
    <w:rsid w:val="00915B7C"/>
    <w:rsid w:val="00916274"/>
    <w:rsid w:val="00916D83"/>
    <w:rsid w:val="00917EA9"/>
    <w:rsid w:val="00930C3F"/>
    <w:rsid w:val="009315A2"/>
    <w:rsid w:val="00931AA9"/>
    <w:rsid w:val="009325C5"/>
    <w:rsid w:val="0093548E"/>
    <w:rsid w:val="00935E91"/>
    <w:rsid w:val="00936461"/>
    <w:rsid w:val="009377DB"/>
    <w:rsid w:val="009402D1"/>
    <w:rsid w:val="00941666"/>
    <w:rsid w:val="00943214"/>
    <w:rsid w:val="009436B0"/>
    <w:rsid w:val="00944602"/>
    <w:rsid w:val="009449F1"/>
    <w:rsid w:val="00945BD3"/>
    <w:rsid w:val="00945CE8"/>
    <w:rsid w:val="0094758D"/>
    <w:rsid w:val="0095016A"/>
    <w:rsid w:val="00950207"/>
    <w:rsid w:val="009506CD"/>
    <w:rsid w:val="00957459"/>
    <w:rsid w:val="00960AA2"/>
    <w:rsid w:val="00961AB3"/>
    <w:rsid w:val="009630CD"/>
    <w:rsid w:val="00964A2E"/>
    <w:rsid w:val="009651F2"/>
    <w:rsid w:val="0096522E"/>
    <w:rsid w:val="0096526C"/>
    <w:rsid w:val="00965C22"/>
    <w:rsid w:val="00965E80"/>
    <w:rsid w:val="009665D9"/>
    <w:rsid w:val="00967B3A"/>
    <w:rsid w:val="00970247"/>
    <w:rsid w:val="00971AA2"/>
    <w:rsid w:val="00971D48"/>
    <w:rsid w:val="009744BE"/>
    <w:rsid w:val="009744DE"/>
    <w:rsid w:val="00974624"/>
    <w:rsid w:val="00974DC5"/>
    <w:rsid w:val="00977C01"/>
    <w:rsid w:val="00980AFC"/>
    <w:rsid w:val="00981463"/>
    <w:rsid w:val="00981D42"/>
    <w:rsid w:val="00981F15"/>
    <w:rsid w:val="00985454"/>
    <w:rsid w:val="00986392"/>
    <w:rsid w:val="00986529"/>
    <w:rsid w:val="0098657B"/>
    <w:rsid w:val="009865F0"/>
    <w:rsid w:val="00987782"/>
    <w:rsid w:val="00987F70"/>
    <w:rsid w:val="0099171A"/>
    <w:rsid w:val="00993436"/>
    <w:rsid w:val="009938D7"/>
    <w:rsid w:val="00993D08"/>
    <w:rsid w:val="00994B2E"/>
    <w:rsid w:val="00994E6A"/>
    <w:rsid w:val="00997ACE"/>
    <w:rsid w:val="00997CA9"/>
    <w:rsid w:val="009A0508"/>
    <w:rsid w:val="009A16A5"/>
    <w:rsid w:val="009A236A"/>
    <w:rsid w:val="009A2BAD"/>
    <w:rsid w:val="009A42F1"/>
    <w:rsid w:val="009A768E"/>
    <w:rsid w:val="009B00BB"/>
    <w:rsid w:val="009B0685"/>
    <w:rsid w:val="009B2B95"/>
    <w:rsid w:val="009B3A3B"/>
    <w:rsid w:val="009B4829"/>
    <w:rsid w:val="009B4C9D"/>
    <w:rsid w:val="009B650D"/>
    <w:rsid w:val="009B71E6"/>
    <w:rsid w:val="009C011E"/>
    <w:rsid w:val="009C051C"/>
    <w:rsid w:val="009C0FD5"/>
    <w:rsid w:val="009C1228"/>
    <w:rsid w:val="009C20A0"/>
    <w:rsid w:val="009C309A"/>
    <w:rsid w:val="009C4022"/>
    <w:rsid w:val="009C4DD1"/>
    <w:rsid w:val="009C4E06"/>
    <w:rsid w:val="009C5A65"/>
    <w:rsid w:val="009C631D"/>
    <w:rsid w:val="009C7C82"/>
    <w:rsid w:val="009D0364"/>
    <w:rsid w:val="009D0C2D"/>
    <w:rsid w:val="009D351D"/>
    <w:rsid w:val="009D59D1"/>
    <w:rsid w:val="009D5A27"/>
    <w:rsid w:val="009D5D4B"/>
    <w:rsid w:val="009D6EAE"/>
    <w:rsid w:val="009D734D"/>
    <w:rsid w:val="009D7440"/>
    <w:rsid w:val="009E0034"/>
    <w:rsid w:val="009E0849"/>
    <w:rsid w:val="009E09FA"/>
    <w:rsid w:val="009E0A6A"/>
    <w:rsid w:val="009E0DEF"/>
    <w:rsid w:val="009E10BA"/>
    <w:rsid w:val="009E1B81"/>
    <w:rsid w:val="009E1C29"/>
    <w:rsid w:val="009E264D"/>
    <w:rsid w:val="009E52AA"/>
    <w:rsid w:val="009E56B9"/>
    <w:rsid w:val="009E5A9A"/>
    <w:rsid w:val="009E5C23"/>
    <w:rsid w:val="009E789F"/>
    <w:rsid w:val="009F2B47"/>
    <w:rsid w:val="009F2EC5"/>
    <w:rsid w:val="009F2F4B"/>
    <w:rsid w:val="009F3C91"/>
    <w:rsid w:val="009F408A"/>
    <w:rsid w:val="009F42D4"/>
    <w:rsid w:val="009F46FD"/>
    <w:rsid w:val="009F4A2A"/>
    <w:rsid w:val="009F4FFE"/>
    <w:rsid w:val="009F5493"/>
    <w:rsid w:val="009F6A59"/>
    <w:rsid w:val="00A00C38"/>
    <w:rsid w:val="00A01B86"/>
    <w:rsid w:val="00A01F4F"/>
    <w:rsid w:val="00A03567"/>
    <w:rsid w:val="00A035AF"/>
    <w:rsid w:val="00A05C95"/>
    <w:rsid w:val="00A108CC"/>
    <w:rsid w:val="00A10DEE"/>
    <w:rsid w:val="00A1136D"/>
    <w:rsid w:val="00A11C61"/>
    <w:rsid w:val="00A1285C"/>
    <w:rsid w:val="00A15EE4"/>
    <w:rsid w:val="00A17A4B"/>
    <w:rsid w:val="00A21992"/>
    <w:rsid w:val="00A2300F"/>
    <w:rsid w:val="00A23138"/>
    <w:rsid w:val="00A24099"/>
    <w:rsid w:val="00A24F91"/>
    <w:rsid w:val="00A25BC7"/>
    <w:rsid w:val="00A2656D"/>
    <w:rsid w:val="00A26BED"/>
    <w:rsid w:val="00A308C5"/>
    <w:rsid w:val="00A317EF"/>
    <w:rsid w:val="00A33768"/>
    <w:rsid w:val="00A33E89"/>
    <w:rsid w:val="00A35AC4"/>
    <w:rsid w:val="00A360CF"/>
    <w:rsid w:val="00A36605"/>
    <w:rsid w:val="00A37693"/>
    <w:rsid w:val="00A37A6D"/>
    <w:rsid w:val="00A408E7"/>
    <w:rsid w:val="00A40DEB"/>
    <w:rsid w:val="00A43CF4"/>
    <w:rsid w:val="00A44992"/>
    <w:rsid w:val="00A453FE"/>
    <w:rsid w:val="00A45676"/>
    <w:rsid w:val="00A45B4E"/>
    <w:rsid w:val="00A46191"/>
    <w:rsid w:val="00A4653F"/>
    <w:rsid w:val="00A46545"/>
    <w:rsid w:val="00A473BC"/>
    <w:rsid w:val="00A47530"/>
    <w:rsid w:val="00A47BEF"/>
    <w:rsid w:val="00A515A9"/>
    <w:rsid w:val="00A52187"/>
    <w:rsid w:val="00A52B85"/>
    <w:rsid w:val="00A52D63"/>
    <w:rsid w:val="00A553AF"/>
    <w:rsid w:val="00A57E8D"/>
    <w:rsid w:val="00A57EB8"/>
    <w:rsid w:val="00A60D5F"/>
    <w:rsid w:val="00A6104B"/>
    <w:rsid w:val="00A619ED"/>
    <w:rsid w:val="00A6228F"/>
    <w:rsid w:val="00A63468"/>
    <w:rsid w:val="00A64A88"/>
    <w:rsid w:val="00A64FC5"/>
    <w:rsid w:val="00A674C6"/>
    <w:rsid w:val="00A674E6"/>
    <w:rsid w:val="00A7003E"/>
    <w:rsid w:val="00A71A32"/>
    <w:rsid w:val="00A73522"/>
    <w:rsid w:val="00A759B7"/>
    <w:rsid w:val="00A76134"/>
    <w:rsid w:val="00A76F34"/>
    <w:rsid w:val="00A816F2"/>
    <w:rsid w:val="00A819FA"/>
    <w:rsid w:val="00A81F77"/>
    <w:rsid w:val="00A828E7"/>
    <w:rsid w:val="00A82E95"/>
    <w:rsid w:val="00A82FEE"/>
    <w:rsid w:val="00A8504D"/>
    <w:rsid w:val="00A85D0D"/>
    <w:rsid w:val="00A9078D"/>
    <w:rsid w:val="00A9093E"/>
    <w:rsid w:val="00A937B0"/>
    <w:rsid w:val="00A95444"/>
    <w:rsid w:val="00A95DD4"/>
    <w:rsid w:val="00A970A4"/>
    <w:rsid w:val="00A97D1C"/>
    <w:rsid w:val="00AA1094"/>
    <w:rsid w:val="00AA20DE"/>
    <w:rsid w:val="00AA294A"/>
    <w:rsid w:val="00AA3C5C"/>
    <w:rsid w:val="00AA59BA"/>
    <w:rsid w:val="00AA5BC8"/>
    <w:rsid w:val="00AA636D"/>
    <w:rsid w:val="00AA6BA8"/>
    <w:rsid w:val="00AA73E1"/>
    <w:rsid w:val="00AA7796"/>
    <w:rsid w:val="00AA79B4"/>
    <w:rsid w:val="00AB0EB1"/>
    <w:rsid w:val="00AB34DF"/>
    <w:rsid w:val="00AB3C94"/>
    <w:rsid w:val="00AB3E60"/>
    <w:rsid w:val="00AB4847"/>
    <w:rsid w:val="00AB51A0"/>
    <w:rsid w:val="00AB5576"/>
    <w:rsid w:val="00AB5905"/>
    <w:rsid w:val="00AB6802"/>
    <w:rsid w:val="00AB6D1C"/>
    <w:rsid w:val="00AB77E5"/>
    <w:rsid w:val="00AB7BA9"/>
    <w:rsid w:val="00AC02FA"/>
    <w:rsid w:val="00AC1806"/>
    <w:rsid w:val="00AC3E99"/>
    <w:rsid w:val="00AC42F9"/>
    <w:rsid w:val="00AC60B2"/>
    <w:rsid w:val="00AC6399"/>
    <w:rsid w:val="00AD052F"/>
    <w:rsid w:val="00AD1988"/>
    <w:rsid w:val="00AD28B4"/>
    <w:rsid w:val="00AD2CBD"/>
    <w:rsid w:val="00AD3238"/>
    <w:rsid w:val="00AD33FE"/>
    <w:rsid w:val="00AD3B02"/>
    <w:rsid w:val="00AD3FE6"/>
    <w:rsid w:val="00AD4471"/>
    <w:rsid w:val="00AD6202"/>
    <w:rsid w:val="00AD63B3"/>
    <w:rsid w:val="00AE0884"/>
    <w:rsid w:val="00AE280C"/>
    <w:rsid w:val="00AE31DF"/>
    <w:rsid w:val="00AE5D3F"/>
    <w:rsid w:val="00AF0FFA"/>
    <w:rsid w:val="00AF1F45"/>
    <w:rsid w:val="00AF3596"/>
    <w:rsid w:val="00B00120"/>
    <w:rsid w:val="00B0297B"/>
    <w:rsid w:val="00B03966"/>
    <w:rsid w:val="00B059A0"/>
    <w:rsid w:val="00B0646A"/>
    <w:rsid w:val="00B072C4"/>
    <w:rsid w:val="00B103A4"/>
    <w:rsid w:val="00B10C79"/>
    <w:rsid w:val="00B11676"/>
    <w:rsid w:val="00B11A0B"/>
    <w:rsid w:val="00B12834"/>
    <w:rsid w:val="00B129EC"/>
    <w:rsid w:val="00B1397F"/>
    <w:rsid w:val="00B15892"/>
    <w:rsid w:val="00B167D2"/>
    <w:rsid w:val="00B16BAD"/>
    <w:rsid w:val="00B16EFA"/>
    <w:rsid w:val="00B1777F"/>
    <w:rsid w:val="00B221C8"/>
    <w:rsid w:val="00B22CE2"/>
    <w:rsid w:val="00B234EC"/>
    <w:rsid w:val="00B2497C"/>
    <w:rsid w:val="00B24BCB"/>
    <w:rsid w:val="00B259A8"/>
    <w:rsid w:val="00B261D4"/>
    <w:rsid w:val="00B26CA5"/>
    <w:rsid w:val="00B26D77"/>
    <w:rsid w:val="00B27CC8"/>
    <w:rsid w:val="00B30FBD"/>
    <w:rsid w:val="00B313EE"/>
    <w:rsid w:val="00B31EAC"/>
    <w:rsid w:val="00B32AF0"/>
    <w:rsid w:val="00B331ED"/>
    <w:rsid w:val="00B33CC1"/>
    <w:rsid w:val="00B33F5C"/>
    <w:rsid w:val="00B349EF"/>
    <w:rsid w:val="00B34DB5"/>
    <w:rsid w:val="00B36150"/>
    <w:rsid w:val="00B37B7D"/>
    <w:rsid w:val="00B37D86"/>
    <w:rsid w:val="00B37E13"/>
    <w:rsid w:val="00B37F78"/>
    <w:rsid w:val="00B4216F"/>
    <w:rsid w:val="00B44CFC"/>
    <w:rsid w:val="00B44FF0"/>
    <w:rsid w:val="00B458C5"/>
    <w:rsid w:val="00B45F0B"/>
    <w:rsid w:val="00B46FBE"/>
    <w:rsid w:val="00B4757B"/>
    <w:rsid w:val="00B4777A"/>
    <w:rsid w:val="00B51288"/>
    <w:rsid w:val="00B528CA"/>
    <w:rsid w:val="00B53C2B"/>
    <w:rsid w:val="00B53D8E"/>
    <w:rsid w:val="00B55300"/>
    <w:rsid w:val="00B56C00"/>
    <w:rsid w:val="00B57517"/>
    <w:rsid w:val="00B60AEC"/>
    <w:rsid w:val="00B60C86"/>
    <w:rsid w:val="00B610F7"/>
    <w:rsid w:val="00B619FA"/>
    <w:rsid w:val="00B61D21"/>
    <w:rsid w:val="00B624E0"/>
    <w:rsid w:val="00B62A77"/>
    <w:rsid w:val="00B6359A"/>
    <w:rsid w:val="00B6398B"/>
    <w:rsid w:val="00B65804"/>
    <w:rsid w:val="00B67A50"/>
    <w:rsid w:val="00B70484"/>
    <w:rsid w:val="00B72CEA"/>
    <w:rsid w:val="00B759BD"/>
    <w:rsid w:val="00B80D9C"/>
    <w:rsid w:val="00B81097"/>
    <w:rsid w:val="00B84201"/>
    <w:rsid w:val="00B85208"/>
    <w:rsid w:val="00B85557"/>
    <w:rsid w:val="00B863D5"/>
    <w:rsid w:val="00B87777"/>
    <w:rsid w:val="00B90E78"/>
    <w:rsid w:val="00B91E04"/>
    <w:rsid w:val="00B92572"/>
    <w:rsid w:val="00B93BBC"/>
    <w:rsid w:val="00B94CA9"/>
    <w:rsid w:val="00B95593"/>
    <w:rsid w:val="00B96869"/>
    <w:rsid w:val="00B97DB8"/>
    <w:rsid w:val="00BA07B4"/>
    <w:rsid w:val="00BA1011"/>
    <w:rsid w:val="00BA130E"/>
    <w:rsid w:val="00BA17C7"/>
    <w:rsid w:val="00BA204D"/>
    <w:rsid w:val="00BA3A35"/>
    <w:rsid w:val="00BA56DE"/>
    <w:rsid w:val="00BA69AF"/>
    <w:rsid w:val="00BA733E"/>
    <w:rsid w:val="00BA7A43"/>
    <w:rsid w:val="00BB0973"/>
    <w:rsid w:val="00BB09FA"/>
    <w:rsid w:val="00BB0CEA"/>
    <w:rsid w:val="00BB0DDE"/>
    <w:rsid w:val="00BB0E85"/>
    <w:rsid w:val="00BB29EF"/>
    <w:rsid w:val="00BB2FD7"/>
    <w:rsid w:val="00BB4BD8"/>
    <w:rsid w:val="00BB5EF4"/>
    <w:rsid w:val="00BB63A5"/>
    <w:rsid w:val="00BB63C2"/>
    <w:rsid w:val="00BC18AA"/>
    <w:rsid w:val="00BC3075"/>
    <w:rsid w:val="00BC387D"/>
    <w:rsid w:val="00BC4752"/>
    <w:rsid w:val="00BC5174"/>
    <w:rsid w:val="00BC6DD1"/>
    <w:rsid w:val="00BC7DFB"/>
    <w:rsid w:val="00BD0B41"/>
    <w:rsid w:val="00BD19BA"/>
    <w:rsid w:val="00BD44F1"/>
    <w:rsid w:val="00BD4EDB"/>
    <w:rsid w:val="00BD5B58"/>
    <w:rsid w:val="00BD63D2"/>
    <w:rsid w:val="00BD644F"/>
    <w:rsid w:val="00BE15DD"/>
    <w:rsid w:val="00BE196F"/>
    <w:rsid w:val="00BE2AB0"/>
    <w:rsid w:val="00BE2C72"/>
    <w:rsid w:val="00BE3A09"/>
    <w:rsid w:val="00BE3AED"/>
    <w:rsid w:val="00BE441B"/>
    <w:rsid w:val="00BF1ABA"/>
    <w:rsid w:val="00BF1DAB"/>
    <w:rsid w:val="00BF2CC4"/>
    <w:rsid w:val="00BF3564"/>
    <w:rsid w:val="00BF3F00"/>
    <w:rsid w:val="00BF51CF"/>
    <w:rsid w:val="00BF55AA"/>
    <w:rsid w:val="00C0082B"/>
    <w:rsid w:val="00C01CAA"/>
    <w:rsid w:val="00C03A2C"/>
    <w:rsid w:val="00C04264"/>
    <w:rsid w:val="00C0436C"/>
    <w:rsid w:val="00C04672"/>
    <w:rsid w:val="00C04E91"/>
    <w:rsid w:val="00C07DB5"/>
    <w:rsid w:val="00C104D2"/>
    <w:rsid w:val="00C1131C"/>
    <w:rsid w:val="00C1198D"/>
    <w:rsid w:val="00C13100"/>
    <w:rsid w:val="00C145C4"/>
    <w:rsid w:val="00C14B17"/>
    <w:rsid w:val="00C158F7"/>
    <w:rsid w:val="00C15B2E"/>
    <w:rsid w:val="00C16051"/>
    <w:rsid w:val="00C164F1"/>
    <w:rsid w:val="00C16BB5"/>
    <w:rsid w:val="00C21EBA"/>
    <w:rsid w:val="00C22352"/>
    <w:rsid w:val="00C25E6F"/>
    <w:rsid w:val="00C26234"/>
    <w:rsid w:val="00C262F8"/>
    <w:rsid w:val="00C275B8"/>
    <w:rsid w:val="00C30021"/>
    <w:rsid w:val="00C34116"/>
    <w:rsid w:val="00C348E8"/>
    <w:rsid w:val="00C35AF2"/>
    <w:rsid w:val="00C37BD6"/>
    <w:rsid w:val="00C405C3"/>
    <w:rsid w:val="00C409B1"/>
    <w:rsid w:val="00C40C81"/>
    <w:rsid w:val="00C40E1C"/>
    <w:rsid w:val="00C43057"/>
    <w:rsid w:val="00C43851"/>
    <w:rsid w:val="00C445F7"/>
    <w:rsid w:val="00C44873"/>
    <w:rsid w:val="00C45930"/>
    <w:rsid w:val="00C45ECC"/>
    <w:rsid w:val="00C468C2"/>
    <w:rsid w:val="00C47180"/>
    <w:rsid w:val="00C47E3B"/>
    <w:rsid w:val="00C5031B"/>
    <w:rsid w:val="00C524C8"/>
    <w:rsid w:val="00C532C2"/>
    <w:rsid w:val="00C53CDD"/>
    <w:rsid w:val="00C543DA"/>
    <w:rsid w:val="00C546DE"/>
    <w:rsid w:val="00C54701"/>
    <w:rsid w:val="00C55F4D"/>
    <w:rsid w:val="00C5643E"/>
    <w:rsid w:val="00C56DCC"/>
    <w:rsid w:val="00C60758"/>
    <w:rsid w:val="00C611F6"/>
    <w:rsid w:val="00C62F5F"/>
    <w:rsid w:val="00C635A0"/>
    <w:rsid w:val="00C640A8"/>
    <w:rsid w:val="00C65693"/>
    <w:rsid w:val="00C65CB6"/>
    <w:rsid w:val="00C70262"/>
    <w:rsid w:val="00C707F6"/>
    <w:rsid w:val="00C71E02"/>
    <w:rsid w:val="00C73640"/>
    <w:rsid w:val="00C73941"/>
    <w:rsid w:val="00C73CF1"/>
    <w:rsid w:val="00C74153"/>
    <w:rsid w:val="00C7433C"/>
    <w:rsid w:val="00C749AC"/>
    <w:rsid w:val="00C75F6C"/>
    <w:rsid w:val="00C778E6"/>
    <w:rsid w:val="00C80E7A"/>
    <w:rsid w:val="00C81516"/>
    <w:rsid w:val="00C819CA"/>
    <w:rsid w:val="00C83747"/>
    <w:rsid w:val="00C85ACC"/>
    <w:rsid w:val="00C87042"/>
    <w:rsid w:val="00C87C26"/>
    <w:rsid w:val="00C90069"/>
    <w:rsid w:val="00C926A8"/>
    <w:rsid w:val="00C92BBA"/>
    <w:rsid w:val="00C935B8"/>
    <w:rsid w:val="00C93EE2"/>
    <w:rsid w:val="00C93FE2"/>
    <w:rsid w:val="00CA288D"/>
    <w:rsid w:val="00CA3371"/>
    <w:rsid w:val="00CA372F"/>
    <w:rsid w:val="00CA487E"/>
    <w:rsid w:val="00CA4EF0"/>
    <w:rsid w:val="00CA5776"/>
    <w:rsid w:val="00CA6F26"/>
    <w:rsid w:val="00CB18A6"/>
    <w:rsid w:val="00CB1A09"/>
    <w:rsid w:val="00CB1DDA"/>
    <w:rsid w:val="00CB3A3B"/>
    <w:rsid w:val="00CB4797"/>
    <w:rsid w:val="00CB4ECC"/>
    <w:rsid w:val="00CC11E7"/>
    <w:rsid w:val="00CC33DC"/>
    <w:rsid w:val="00CC4C5E"/>
    <w:rsid w:val="00CC519F"/>
    <w:rsid w:val="00CC586A"/>
    <w:rsid w:val="00CC5E2F"/>
    <w:rsid w:val="00CC65EF"/>
    <w:rsid w:val="00CC6BFF"/>
    <w:rsid w:val="00CC6C1F"/>
    <w:rsid w:val="00CD22AE"/>
    <w:rsid w:val="00CD3694"/>
    <w:rsid w:val="00CD460A"/>
    <w:rsid w:val="00CD6552"/>
    <w:rsid w:val="00CD68E7"/>
    <w:rsid w:val="00CE3F4C"/>
    <w:rsid w:val="00CE42EC"/>
    <w:rsid w:val="00CE44D6"/>
    <w:rsid w:val="00CE7699"/>
    <w:rsid w:val="00CF1FBF"/>
    <w:rsid w:val="00CF2E51"/>
    <w:rsid w:val="00CF3683"/>
    <w:rsid w:val="00CF3B35"/>
    <w:rsid w:val="00CF4343"/>
    <w:rsid w:val="00CF5DD0"/>
    <w:rsid w:val="00CF65E6"/>
    <w:rsid w:val="00CF673F"/>
    <w:rsid w:val="00CF734D"/>
    <w:rsid w:val="00CF75BE"/>
    <w:rsid w:val="00D01C5E"/>
    <w:rsid w:val="00D01DB8"/>
    <w:rsid w:val="00D026DA"/>
    <w:rsid w:val="00D03B6D"/>
    <w:rsid w:val="00D06461"/>
    <w:rsid w:val="00D06DC8"/>
    <w:rsid w:val="00D072DA"/>
    <w:rsid w:val="00D07699"/>
    <w:rsid w:val="00D07C73"/>
    <w:rsid w:val="00D10C24"/>
    <w:rsid w:val="00D10C2C"/>
    <w:rsid w:val="00D10C87"/>
    <w:rsid w:val="00D10FBE"/>
    <w:rsid w:val="00D113B4"/>
    <w:rsid w:val="00D11525"/>
    <w:rsid w:val="00D13D36"/>
    <w:rsid w:val="00D1626A"/>
    <w:rsid w:val="00D16EA1"/>
    <w:rsid w:val="00D17698"/>
    <w:rsid w:val="00D1788B"/>
    <w:rsid w:val="00D17C95"/>
    <w:rsid w:val="00D2015E"/>
    <w:rsid w:val="00D20867"/>
    <w:rsid w:val="00D21D67"/>
    <w:rsid w:val="00D22940"/>
    <w:rsid w:val="00D24400"/>
    <w:rsid w:val="00D27406"/>
    <w:rsid w:val="00D27E35"/>
    <w:rsid w:val="00D27EA0"/>
    <w:rsid w:val="00D31C09"/>
    <w:rsid w:val="00D33061"/>
    <w:rsid w:val="00D3368D"/>
    <w:rsid w:val="00D33D4D"/>
    <w:rsid w:val="00D34ED6"/>
    <w:rsid w:val="00D35CFC"/>
    <w:rsid w:val="00D360F2"/>
    <w:rsid w:val="00D36944"/>
    <w:rsid w:val="00D370B7"/>
    <w:rsid w:val="00D400D1"/>
    <w:rsid w:val="00D41571"/>
    <w:rsid w:val="00D41FB3"/>
    <w:rsid w:val="00D4298E"/>
    <w:rsid w:val="00D42E94"/>
    <w:rsid w:val="00D4348A"/>
    <w:rsid w:val="00D4458F"/>
    <w:rsid w:val="00D45277"/>
    <w:rsid w:val="00D45953"/>
    <w:rsid w:val="00D47746"/>
    <w:rsid w:val="00D50EEF"/>
    <w:rsid w:val="00D51560"/>
    <w:rsid w:val="00D51BC5"/>
    <w:rsid w:val="00D51E45"/>
    <w:rsid w:val="00D541B9"/>
    <w:rsid w:val="00D54E03"/>
    <w:rsid w:val="00D567E0"/>
    <w:rsid w:val="00D57DD1"/>
    <w:rsid w:val="00D63EEC"/>
    <w:rsid w:val="00D649D9"/>
    <w:rsid w:val="00D64D01"/>
    <w:rsid w:val="00D662E4"/>
    <w:rsid w:val="00D672C3"/>
    <w:rsid w:val="00D67451"/>
    <w:rsid w:val="00D67772"/>
    <w:rsid w:val="00D67E8B"/>
    <w:rsid w:val="00D70382"/>
    <w:rsid w:val="00D705B7"/>
    <w:rsid w:val="00D7062C"/>
    <w:rsid w:val="00D7092D"/>
    <w:rsid w:val="00D71A3A"/>
    <w:rsid w:val="00D71A91"/>
    <w:rsid w:val="00D742E3"/>
    <w:rsid w:val="00D75855"/>
    <w:rsid w:val="00D779AF"/>
    <w:rsid w:val="00D806C2"/>
    <w:rsid w:val="00D80B6F"/>
    <w:rsid w:val="00D811EC"/>
    <w:rsid w:val="00D81A9D"/>
    <w:rsid w:val="00D82E30"/>
    <w:rsid w:val="00D83B57"/>
    <w:rsid w:val="00D83EBA"/>
    <w:rsid w:val="00D85426"/>
    <w:rsid w:val="00D85767"/>
    <w:rsid w:val="00D876E9"/>
    <w:rsid w:val="00D8788C"/>
    <w:rsid w:val="00D87899"/>
    <w:rsid w:val="00D90194"/>
    <w:rsid w:val="00D9302B"/>
    <w:rsid w:val="00D94C24"/>
    <w:rsid w:val="00D951AD"/>
    <w:rsid w:val="00D95E6F"/>
    <w:rsid w:val="00DA0974"/>
    <w:rsid w:val="00DA20C4"/>
    <w:rsid w:val="00DA3DAB"/>
    <w:rsid w:val="00DA4B31"/>
    <w:rsid w:val="00DA5AF9"/>
    <w:rsid w:val="00DB0243"/>
    <w:rsid w:val="00DB0AC7"/>
    <w:rsid w:val="00DB1AB3"/>
    <w:rsid w:val="00DB1C90"/>
    <w:rsid w:val="00DB2E7F"/>
    <w:rsid w:val="00DB4155"/>
    <w:rsid w:val="00DB48BA"/>
    <w:rsid w:val="00DB4A00"/>
    <w:rsid w:val="00DB5136"/>
    <w:rsid w:val="00DB515C"/>
    <w:rsid w:val="00DB5218"/>
    <w:rsid w:val="00DB5236"/>
    <w:rsid w:val="00DB52BC"/>
    <w:rsid w:val="00DB617E"/>
    <w:rsid w:val="00DC02E2"/>
    <w:rsid w:val="00DC16A1"/>
    <w:rsid w:val="00DC17F1"/>
    <w:rsid w:val="00DC1D17"/>
    <w:rsid w:val="00DC2981"/>
    <w:rsid w:val="00DC2CC2"/>
    <w:rsid w:val="00DC3C8E"/>
    <w:rsid w:val="00DC4E62"/>
    <w:rsid w:val="00DC68A2"/>
    <w:rsid w:val="00DC6AD1"/>
    <w:rsid w:val="00DD23D2"/>
    <w:rsid w:val="00DD6183"/>
    <w:rsid w:val="00DD7620"/>
    <w:rsid w:val="00DD7D9D"/>
    <w:rsid w:val="00DE014A"/>
    <w:rsid w:val="00DE05E6"/>
    <w:rsid w:val="00DE17A0"/>
    <w:rsid w:val="00DE232A"/>
    <w:rsid w:val="00DE2E41"/>
    <w:rsid w:val="00DE60BF"/>
    <w:rsid w:val="00DE6ABA"/>
    <w:rsid w:val="00DE700E"/>
    <w:rsid w:val="00DE71AB"/>
    <w:rsid w:val="00DE76FC"/>
    <w:rsid w:val="00DF01F5"/>
    <w:rsid w:val="00DF053E"/>
    <w:rsid w:val="00DF0BB8"/>
    <w:rsid w:val="00DF135F"/>
    <w:rsid w:val="00DF137F"/>
    <w:rsid w:val="00DF1A70"/>
    <w:rsid w:val="00DF20D2"/>
    <w:rsid w:val="00DF24A7"/>
    <w:rsid w:val="00DF2926"/>
    <w:rsid w:val="00DF4C22"/>
    <w:rsid w:val="00DF4EB0"/>
    <w:rsid w:val="00DF54C9"/>
    <w:rsid w:val="00DF6399"/>
    <w:rsid w:val="00DF76C3"/>
    <w:rsid w:val="00E00CFD"/>
    <w:rsid w:val="00E011BE"/>
    <w:rsid w:val="00E02393"/>
    <w:rsid w:val="00E026CF"/>
    <w:rsid w:val="00E0304F"/>
    <w:rsid w:val="00E0313C"/>
    <w:rsid w:val="00E03A00"/>
    <w:rsid w:val="00E0406D"/>
    <w:rsid w:val="00E0517E"/>
    <w:rsid w:val="00E06807"/>
    <w:rsid w:val="00E10DD8"/>
    <w:rsid w:val="00E11840"/>
    <w:rsid w:val="00E12E2B"/>
    <w:rsid w:val="00E13AF8"/>
    <w:rsid w:val="00E13BFA"/>
    <w:rsid w:val="00E14428"/>
    <w:rsid w:val="00E14784"/>
    <w:rsid w:val="00E14CA6"/>
    <w:rsid w:val="00E17F43"/>
    <w:rsid w:val="00E20056"/>
    <w:rsid w:val="00E20184"/>
    <w:rsid w:val="00E2176D"/>
    <w:rsid w:val="00E225FF"/>
    <w:rsid w:val="00E2420C"/>
    <w:rsid w:val="00E24609"/>
    <w:rsid w:val="00E24CE1"/>
    <w:rsid w:val="00E253D6"/>
    <w:rsid w:val="00E260DD"/>
    <w:rsid w:val="00E27D15"/>
    <w:rsid w:val="00E306D4"/>
    <w:rsid w:val="00E308CC"/>
    <w:rsid w:val="00E3092A"/>
    <w:rsid w:val="00E3116F"/>
    <w:rsid w:val="00E318EC"/>
    <w:rsid w:val="00E31988"/>
    <w:rsid w:val="00E32205"/>
    <w:rsid w:val="00E32791"/>
    <w:rsid w:val="00E3573E"/>
    <w:rsid w:val="00E361C3"/>
    <w:rsid w:val="00E404CC"/>
    <w:rsid w:val="00E4168F"/>
    <w:rsid w:val="00E41EC3"/>
    <w:rsid w:val="00E42A81"/>
    <w:rsid w:val="00E433BC"/>
    <w:rsid w:val="00E444AE"/>
    <w:rsid w:val="00E456D9"/>
    <w:rsid w:val="00E462E3"/>
    <w:rsid w:val="00E4641A"/>
    <w:rsid w:val="00E47BC8"/>
    <w:rsid w:val="00E50F31"/>
    <w:rsid w:val="00E519C3"/>
    <w:rsid w:val="00E5431B"/>
    <w:rsid w:val="00E5432D"/>
    <w:rsid w:val="00E55337"/>
    <w:rsid w:val="00E56B3B"/>
    <w:rsid w:val="00E574E6"/>
    <w:rsid w:val="00E578BA"/>
    <w:rsid w:val="00E6003A"/>
    <w:rsid w:val="00E60EE8"/>
    <w:rsid w:val="00E630EC"/>
    <w:rsid w:val="00E654AF"/>
    <w:rsid w:val="00E65CFD"/>
    <w:rsid w:val="00E661F8"/>
    <w:rsid w:val="00E66C5F"/>
    <w:rsid w:val="00E6709D"/>
    <w:rsid w:val="00E7095D"/>
    <w:rsid w:val="00E70A03"/>
    <w:rsid w:val="00E71B41"/>
    <w:rsid w:val="00E721DC"/>
    <w:rsid w:val="00E72B6D"/>
    <w:rsid w:val="00E731D5"/>
    <w:rsid w:val="00E73633"/>
    <w:rsid w:val="00E736D0"/>
    <w:rsid w:val="00E75A70"/>
    <w:rsid w:val="00E75CB9"/>
    <w:rsid w:val="00E765AA"/>
    <w:rsid w:val="00E76B89"/>
    <w:rsid w:val="00E7703A"/>
    <w:rsid w:val="00E82C64"/>
    <w:rsid w:val="00E84459"/>
    <w:rsid w:val="00E84D4D"/>
    <w:rsid w:val="00E85A5D"/>
    <w:rsid w:val="00E86F2E"/>
    <w:rsid w:val="00E86FE2"/>
    <w:rsid w:val="00E86FEF"/>
    <w:rsid w:val="00E9083A"/>
    <w:rsid w:val="00E91075"/>
    <w:rsid w:val="00E91509"/>
    <w:rsid w:val="00E91C1A"/>
    <w:rsid w:val="00E9219C"/>
    <w:rsid w:val="00E93207"/>
    <w:rsid w:val="00E94630"/>
    <w:rsid w:val="00E956C8"/>
    <w:rsid w:val="00E97002"/>
    <w:rsid w:val="00E972A2"/>
    <w:rsid w:val="00EA0FE4"/>
    <w:rsid w:val="00EA4D4B"/>
    <w:rsid w:val="00EA6493"/>
    <w:rsid w:val="00EA6983"/>
    <w:rsid w:val="00EA6FBE"/>
    <w:rsid w:val="00EB0D0F"/>
    <w:rsid w:val="00EB3C0B"/>
    <w:rsid w:val="00EB4C69"/>
    <w:rsid w:val="00EB4DDC"/>
    <w:rsid w:val="00EB562A"/>
    <w:rsid w:val="00EB57C2"/>
    <w:rsid w:val="00EB64B7"/>
    <w:rsid w:val="00EB6557"/>
    <w:rsid w:val="00EB73D2"/>
    <w:rsid w:val="00EC0D8B"/>
    <w:rsid w:val="00EC0F5E"/>
    <w:rsid w:val="00EC1BEA"/>
    <w:rsid w:val="00EC2BF4"/>
    <w:rsid w:val="00EC3306"/>
    <w:rsid w:val="00EC4102"/>
    <w:rsid w:val="00EC63A3"/>
    <w:rsid w:val="00EC668C"/>
    <w:rsid w:val="00EC6836"/>
    <w:rsid w:val="00EC6EA8"/>
    <w:rsid w:val="00ED0C6A"/>
    <w:rsid w:val="00ED1C61"/>
    <w:rsid w:val="00ED1FF7"/>
    <w:rsid w:val="00ED368B"/>
    <w:rsid w:val="00ED541A"/>
    <w:rsid w:val="00EE0420"/>
    <w:rsid w:val="00EE09A6"/>
    <w:rsid w:val="00EE0ECC"/>
    <w:rsid w:val="00EE1525"/>
    <w:rsid w:val="00EE2A54"/>
    <w:rsid w:val="00EE35AB"/>
    <w:rsid w:val="00EE50AC"/>
    <w:rsid w:val="00EE5DBB"/>
    <w:rsid w:val="00EE610A"/>
    <w:rsid w:val="00EE685D"/>
    <w:rsid w:val="00EE74AB"/>
    <w:rsid w:val="00EF01F8"/>
    <w:rsid w:val="00EF0D30"/>
    <w:rsid w:val="00EF2233"/>
    <w:rsid w:val="00EF401A"/>
    <w:rsid w:val="00EF4CFD"/>
    <w:rsid w:val="00EF554B"/>
    <w:rsid w:val="00EF58CE"/>
    <w:rsid w:val="00EF74B3"/>
    <w:rsid w:val="00F00BDB"/>
    <w:rsid w:val="00F0107E"/>
    <w:rsid w:val="00F028D9"/>
    <w:rsid w:val="00F031EF"/>
    <w:rsid w:val="00F051F0"/>
    <w:rsid w:val="00F06939"/>
    <w:rsid w:val="00F07193"/>
    <w:rsid w:val="00F0754C"/>
    <w:rsid w:val="00F07A82"/>
    <w:rsid w:val="00F11D7B"/>
    <w:rsid w:val="00F1206C"/>
    <w:rsid w:val="00F14B1A"/>
    <w:rsid w:val="00F15A9B"/>
    <w:rsid w:val="00F15DF0"/>
    <w:rsid w:val="00F166BE"/>
    <w:rsid w:val="00F16C20"/>
    <w:rsid w:val="00F17482"/>
    <w:rsid w:val="00F20A71"/>
    <w:rsid w:val="00F20AE5"/>
    <w:rsid w:val="00F20CD1"/>
    <w:rsid w:val="00F20D46"/>
    <w:rsid w:val="00F21BAC"/>
    <w:rsid w:val="00F250E9"/>
    <w:rsid w:val="00F254A7"/>
    <w:rsid w:val="00F268D5"/>
    <w:rsid w:val="00F268D8"/>
    <w:rsid w:val="00F27E4C"/>
    <w:rsid w:val="00F27EE1"/>
    <w:rsid w:val="00F31A4E"/>
    <w:rsid w:val="00F31BDF"/>
    <w:rsid w:val="00F327A4"/>
    <w:rsid w:val="00F3349D"/>
    <w:rsid w:val="00F365EC"/>
    <w:rsid w:val="00F4089B"/>
    <w:rsid w:val="00F41C07"/>
    <w:rsid w:val="00F44B38"/>
    <w:rsid w:val="00F46190"/>
    <w:rsid w:val="00F46882"/>
    <w:rsid w:val="00F46D74"/>
    <w:rsid w:val="00F51F78"/>
    <w:rsid w:val="00F52DBF"/>
    <w:rsid w:val="00F53C36"/>
    <w:rsid w:val="00F543E6"/>
    <w:rsid w:val="00F54690"/>
    <w:rsid w:val="00F54E15"/>
    <w:rsid w:val="00F54ED0"/>
    <w:rsid w:val="00F565FD"/>
    <w:rsid w:val="00F600BE"/>
    <w:rsid w:val="00F60450"/>
    <w:rsid w:val="00F62628"/>
    <w:rsid w:val="00F62EE7"/>
    <w:rsid w:val="00F63C0C"/>
    <w:rsid w:val="00F6464E"/>
    <w:rsid w:val="00F64691"/>
    <w:rsid w:val="00F64C08"/>
    <w:rsid w:val="00F64F04"/>
    <w:rsid w:val="00F655D0"/>
    <w:rsid w:val="00F6595D"/>
    <w:rsid w:val="00F65CCD"/>
    <w:rsid w:val="00F67D4A"/>
    <w:rsid w:val="00F70746"/>
    <w:rsid w:val="00F70BD4"/>
    <w:rsid w:val="00F717D9"/>
    <w:rsid w:val="00F719FC"/>
    <w:rsid w:val="00F72A68"/>
    <w:rsid w:val="00F733A0"/>
    <w:rsid w:val="00F73B6A"/>
    <w:rsid w:val="00F740F3"/>
    <w:rsid w:val="00F7448C"/>
    <w:rsid w:val="00F75819"/>
    <w:rsid w:val="00F804E2"/>
    <w:rsid w:val="00F80783"/>
    <w:rsid w:val="00F8137B"/>
    <w:rsid w:val="00F8245A"/>
    <w:rsid w:val="00F8329B"/>
    <w:rsid w:val="00F85F25"/>
    <w:rsid w:val="00F86586"/>
    <w:rsid w:val="00F86A6E"/>
    <w:rsid w:val="00F86B4B"/>
    <w:rsid w:val="00F87D01"/>
    <w:rsid w:val="00F93209"/>
    <w:rsid w:val="00F9337B"/>
    <w:rsid w:val="00F95744"/>
    <w:rsid w:val="00F957B2"/>
    <w:rsid w:val="00F9735F"/>
    <w:rsid w:val="00FA16F9"/>
    <w:rsid w:val="00FA1D58"/>
    <w:rsid w:val="00FA238E"/>
    <w:rsid w:val="00FA28E8"/>
    <w:rsid w:val="00FA30E2"/>
    <w:rsid w:val="00FA4734"/>
    <w:rsid w:val="00FA4E81"/>
    <w:rsid w:val="00FA58D3"/>
    <w:rsid w:val="00FA6AC1"/>
    <w:rsid w:val="00FB0928"/>
    <w:rsid w:val="00FB2512"/>
    <w:rsid w:val="00FB2AD1"/>
    <w:rsid w:val="00FB30A2"/>
    <w:rsid w:val="00FB3237"/>
    <w:rsid w:val="00FB5169"/>
    <w:rsid w:val="00FB6083"/>
    <w:rsid w:val="00FB669C"/>
    <w:rsid w:val="00FB6898"/>
    <w:rsid w:val="00FB7B3B"/>
    <w:rsid w:val="00FC00DD"/>
    <w:rsid w:val="00FC0460"/>
    <w:rsid w:val="00FC0627"/>
    <w:rsid w:val="00FC0C39"/>
    <w:rsid w:val="00FC215E"/>
    <w:rsid w:val="00FC70E3"/>
    <w:rsid w:val="00FD0A10"/>
    <w:rsid w:val="00FD2D0A"/>
    <w:rsid w:val="00FD43EC"/>
    <w:rsid w:val="00FD45AA"/>
    <w:rsid w:val="00FD47C6"/>
    <w:rsid w:val="00FD71CE"/>
    <w:rsid w:val="00FE0911"/>
    <w:rsid w:val="00FE14CC"/>
    <w:rsid w:val="00FE1A41"/>
    <w:rsid w:val="00FE23C3"/>
    <w:rsid w:val="00FE36F2"/>
    <w:rsid w:val="00FE4671"/>
    <w:rsid w:val="00FE58AC"/>
    <w:rsid w:val="00FE6F9D"/>
    <w:rsid w:val="00FF0F6A"/>
    <w:rsid w:val="00FF4908"/>
    <w:rsid w:val="00FF5BBB"/>
    <w:rsid w:val="1A7132D0"/>
    <w:rsid w:val="28CF54B3"/>
    <w:rsid w:val="5A87D880"/>
    <w:rsid w:val="624C6B3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5D7EE02"/>
  <w15:docId w15:val="{0591DD1F-2489-4B38-9689-3FA8E285E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A4734"/>
    <w:rPr>
      <w:sz w:val="24"/>
      <w:szCs w:val="24"/>
    </w:rPr>
  </w:style>
  <w:style w:type="paragraph" w:styleId="Nadpis1">
    <w:name w:val="heading 1"/>
    <w:aliases w:val="nadpis 1"/>
    <w:basedOn w:val="Normln"/>
    <w:next w:val="Normln"/>
    <w:link w:val="Nadpis1Char"/>
    <w:qFormat/>
    <w:rsid w:val="00C85ACC"/>
    <w:pPr>
      <w:keepNext/>
      <w:outlineLvl w:val="0"/>
    </w:pPr>
    <w:rPr>
      <w:b/>
      <w:bCs/>
    </w:rPr>
  </w:style>
  <w:style w:type="paragraph" w:styleId="Nadpis2">
    <w:name w:val="heading 2"/>
    <w:aliases w:val="nadpis 2"/>
    <w:basedOn w:val="Normln"/>
    <w:next w:val="Normln"/>
    <w:link w:val="Nadpis2Char"/>
    <w:qFormat/>
    <w:rsid w:val="00FB669C"/>
    <w:pPr>
      <w:keepNext/>
      <w:spacing w:before="240" w:after="120"/>
      <w:jc w:val="center"/>
      <w:outlineLvl w:val="1"/>
    </w:pPr>
    <w:rPr>
      <w:b/>
      <w:bCs/>
      <w:iCs/>
      <w:sz w:val="28"/>
      <w:szCs w:val="28"/>
    </w:rPr>
  </w:style>
  <w:style w:type="paragraph" w:styleId="Nadpis3">
    <w:name w:val="heading 3"/>
    <w:basedOn w:val="Normln"/>
    <w:next w:val="Normln"/>
    <w:qFormat/>
    <w:rsid w:val="00C85ACC"/>
    <w:pPr>
      <w:keepNext/>
      <w:outlineLvl w:val="2"/>
    </w:pPr>
    <w:rPr>
      <w:b/>
      <w:bCs/>
    </w:rPr>
  </w:style>
  <w:style w:type="paragraph" w:styleId="Nadpis4">
    <w:name w:val="heading 4"/>
    <w:basedOn w:val="Normln"/>
    <w:next w:val="Normln"/>
    <w:qFormat/>
    <w:rsid w:val="00C85ACC"/>
    <w:pPr>
      <w:keepNext/>
      <w:widowControl w:val="0"/>
      <w:autoSpaceDE w:val="0"/>
      <w:autoSpaceDN w:val="0"/>
      <w:adjustRightInd w:val="0"/>
      <w:jc w:val="both"/>
      <w:outlineLvl w:val="3"/>
    </w:pPr>
    <w:rPr>
      <w:b/>
      <w:bCs/>
      <w:color w:val="000000"/>
      <w:szCs w:val="22"/>
    </w:rPr>
  </w:style>
  <w:style w:type="paragraph" w:styleId="Nadpis5">
    <w:name w:val="heading 5"/>
    <w:basedOn w:val="Normln"/>
    <w:next w:val="Normln"/>
    <w:link w:val="Nadpis5Char"/>
    <w:uiPriority w:val="9"/>
    <w:semiHidden/>
    <w:unhideWhenUsed/>
    <w:qFormat/>
    <w:rsid w:val="00DD7D9D"/>
    <w:pPr>
      <w:keepNext/>
      <w:keepLines/>
      <w:spacing w:before="40"/>
      <w:outlineLvl w:val="4"/>
    </w:pPr>
    <w:rPr>
      <w:rFonts w:asciiTheme="majorHAnsi" w:eastAsiaTheme="majorEastAsia" w:hAnsiTheme="majorHAnsi" w:cstheme="majorBidi"/>
      <w:color w:val="365F91"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rsid w:val="00C85ACC"/>
    <w:pPr>
      <w:spacing w:before="120"/>
      <w:ind w:firstLine="708"/>
      <w:jc w:val="both"/>
    </w:pPr>
  </w:style>
  <w:style w:type="paragraph" w:styleId="Zkladntext">
    <w:name w:val="Body Text"/>
    <w:basedOn w:val="Normln"/>
    <w:link w:val="ZkladntextChar"/>
    <w:rsid w:val="00C85ACC"/>
    <w:pPr>
      <w:overflowPunct w:val="0"/>
      <w:autoSpaceDE w:val="0"/>
      <w:autoSpaceDN w:val="0"/>
      <w:adjustRightInd w:val="0"/>
      <w:jc w:val="both"/>
      <w:textAlignment w:val="baseline"/>
    </w:pPr>
    <w:rPr>
      <w:szCs w:val="20"/>
    </w:rPr>
  </w:style>
  <w:style w:type="paragraph" w:styleId="Podnadpis">
    <w:name w:val="Subtitle"/>
    <w:basedOn w:val="Normln"/>
    <w:qFormat/>
    <w:rsid w:val="00C85ACC"/>
    <w:pPr>
      <w:spacing w:before="120"/>
      <w:jc w:val="center"/>
    </w:pPr>
    <w:rPr>
      <w:rFonts w:ascii="Arial" w:hAnsi="Arial"/>
      <w:b/>
      <w:sz w:val="22"/>
      <w:szCs w:val="20"/>
    </w:rPr>
  </w:style>
  <w:style w:type="paragraph" w:styleId="Zkladntextodsazen2">
    <w:name w:val="Body Text Indent 2"/>
    <w:basedOn w:val="Normln"/>
    <w:rsid w:val="00C85ACC"/>
    <w:pPr>
      <w:tabs>
        <w:tab w:val="left" w:pos="0"/>
        <w:tab w:val="left" w:pos="709"/>
      </w:tabs>
      <w:spacing w:before="240"/>
      <w:ind w:left="-142" w:firstLine="142"/>
      <w:jc w:val="both"/>
    </w:pPr>
    <w:rPr>
      <w:rFonts w:ascii="Arial" w:hAnsi="Arial"/>
      <w:sz w:val="22"/>
      <w:szCs w:val="20"/>
    </w:rPr>
  </w:style>
  <w:style w:type="paragraph" w:styleId="Nzev">
    <w:name w:val="Title"/>
    <w:basedOn w:val="Normln"/>
    <w:qFormat/>
    <w:rsid w:val="00C85ACC"/>
    <w:pPr>
      <w:jc w:val="center"/>
    </w:pPr>
    <w:rPr>
      <w:b/>
      <w:bCs/>
      <w:szCs w:val="20"/>
    </w:rPr>
  </w:style>
  <w:style w:type="paragraph" w:styleId="Zkladntextodsazen3">
    <w:name w:val="Body Text Indent 3"/>
    <w:basedOn w:val="Normln"/>
    <w:semiHidden/>
    <w:rsid w:val="00C85ACC"/>
    <w:pPr>
      <w:ind w:firstLine="709"/>
      <w:jc w:val="both"/>
    </w:pPr>
  </w:style>
  <w:style w:type="paragraph" w:styleId="Zkladntext2">
    <w:name w:val="Body Text 2"/>
    <w:basedOn w:val="Normln"/>
    <w:rsid w:val="00C85ACC"/>
    <w:pPr>
      <w:jc w:val="both"/>
    </w:pPr>
    <w:rPr>
      <w:rFonts w:ascii="Arial" w:hAnsi="Arial"/>
      <w:szCs w:val="20"/>
    </w:rPr>
  </w:style>
  <w:style w:type="paragraph" w:styleId="Zhlav">
    <w:name w:val="header"/>
    <w:basedOn w:val="Normln"/>
    <w:link w:val="ZhlavChar"/>
    <w:rsid w:val="00C85ACC"/>
    <w:pPr>
      <w:tabs>
        <w:tab w:val="center" w:pos="4536"/>
        <w:tab w:val="right" w:pos="9072"/>
      </w:tabs>
    </w:pPr>
  </w:style>
  <w:style w:type="paragraph" w:styleId="Zkladntext3">
    <w:name w:val="Body Text 3"/>
    <w:basedOn w:val="Normln"/>
    <w:semiHidden/>
    <w:rsid w:val="00C85ACC"/>
    <w:pPr>
      <w:jc w:val="both"/>
    </w:pPr>
    <w:rPr>
      <w:b/>
      <w:u w:val="single"/>
    </w:rPr>
  </w:style>
  <w:style w:type="paragraph" w:customStyle="1" w:styleId="Normln0">
    <w:name w:val="Normln"/>
    <w:rsid w:val="00C85ACC"/>
    <w:pPr>
      <w:autoSpaceDE w:val="0"/>
      <w:autoSpaceDN w:val="0"/>
      <w:adjustRightInd w:val="0"/>
    </w:pPr>
    <w:rPr>
      <w:rFonts w:ascii="MS Sans Serif" w:hAnsi="MS Sans Serif"/>
      <w:sz w:val="24"/>
      <w:szCs w:val="24"/>
    </w:rPr>
  </w:style>
  <w:style w:type="paragraph" w:styleId="Zpat">
    <w:name w:val="footer"/>
    <w:basedOn w:val="Normln"/>
    <w:link w:val="ZpatChar"/>
    <w:uiPriority w:val="99"/>
    <w:rsid w:val="00C85ACC"/>
    <w:pPr>
      <w:tabs>
        <w:tab w:val="center" w:pos="4536"/>
        <w:tab w:val="right" w:pos="9072"/>
      </w:tabs>
    </w:pPr>
    <w:rPr>
      <w:sz w:val="20"/>
      <w:szCs w:val="20"/>
    </w:rPr>
  </w:style>
  <w:style w:type="paragraph" w:styleId="Normlnweb">
    <w:name w:val="Normal (Web)"/>
    <w:basedOn w:val="Normln"/>
    <w:semiHidden/>
    <w:rsid w:val="00521BDC"/>
    <w:pPr>
      <w:spacing w:before="150" w:after="150"/>
      <w:ind w:left="675" w:right="525"/>
    </w:pPr>
    <w:rPr>
      <w:sz w:val="19"/>
      <w:szCs w:val="19"/>
    </w:rPr>
  </w:style>
  <w:style w:type="paragraph" w:customStyle="1" w:styleId="KRUTEXTODSTAVCE">
    <w:name w:val="_KRU_TEXT_ODSTAVCE"/>
    <w:basedOn w:val="Normln"/>
    <w:rsid w:val="0080759C"/>
    <w:pPr>
      <w:spacing w:line="288" w:lineRule="auto"/>
    </w:pPr>
    <w:rPr>
      <w:rFonts w:ascii="Arial" w:hAnsi="Arial" w:cs="Arial"/>
      <w:sz w:val="22"/>
    </w:rPr>
  </w:style>
  <w:style w:type="character" w:customStyle="1" w:styleId="ZpatChar">
    <w:name w:val="Zápatí Char"/>
    <w:basedOn w:val="Standardnpsmoodstavce"/>
    <w:link w:val="Zpat"/>
    <w:uiPriority w:val="99"/>
    <w:rsid w:val="005D2E08"/>
  </w:style>
  <w:style w:type="character" w:customStyle="1" w:styleId="Nadpis2Char">
    <w:name w:val="Nadpis 2 Char"/>
    <w:aliases w:val="nadpis 2 Char"/>
    <w:link w:val="Nadpis2"/>
    <w:rsid w:val="00FB669C"/>
    <w:rPr>
      <w:rFonts w:cs="Arial"/>
      <w:b/>
      <w:bCs/>
      <w:iCs/>
      <w:sz w:val="28"/>
      <w:szCs w:val="28"/>
    </w:rPr>
  </w:style>
  <w:style w:type="character" w:customStyle="1" w:styleId="Nadpis1Char">
    <w:name w:val="Nadpis 1 Char"/>
    <w:aliases w:val="nadpis 1 Char"/>
    <w:link w:val="Nadpis1"/>
    <w:rsid w:val="00FB669C"/>
    <w:rPr>
      <w:b/>
      <w:bCs/>
      <w:sz w:val="24"/>
      <w:szCs w:val="24"/>
    </w:rPr>
  </w:style>
  <w:style w:type="paragraph" w:styleId="Textbubliny">
    <w:name w:val="Balloon Text"/>
    <w:basedOn w:val="Normln"/>
    <w:link w:val="TextbublinyChar"/>
    <w:uiPriority w:val="99"/>
    <w:semiHidden/>
    <w:unhideWhenUsed/>
    <w:rsid w:val="00FD45AA"/>
    <w:rPr>
      <w:rFonts w:ascii="Tahoma" w:hAnsi="Tahoma" w:cs="Tahoma"/>
      <w:sz w:val="16"/>
      <w:szCs w:val="16"/>
    </w:rPr>
  </w:style>
  <w:style w:type="character" w:customStyle="1" w:styleId="TextbublinyChar">
    <w:name w:val="Text bubliny Char"/>
    <w:link w:val="Textbubliny"/>
    <w:uiPriority w:val="99"/>
    <w:semiHidden/>
    <w:rsid w:val="00FD45AA"/>
    <w:rPr>
      <w:rFonts w:ascii="Tahoma" w:hAnsi="Tahoma" w:cs="Tahoma"/>
      <w:sz w:val="16"/>
      <w:szCs w:val="16"/>
    </w:rPr>
  </w:style>
  <w:style w:type="paragraph" w:customStyle="1" w:styleId="odstavec">
    <w:name w:val="odstavec"/>
    <w:basedOn w:val="Normln"/>
    <w:rsid w:val="003C03B6"/>
    <w:pPr>
      <w:spacing w:before="120"/>
      <w:ind w:firstLine="482"/>
      <w:jc w:val="both"/>
    </w:pPr>
    <w:rPr>
      <w:noProof/>
    </w:rPr>
  </w:style>
  <w:style w:type="paragraph" w:customStyle="1" w:styleId="nadpisvyhlky">
    <w:name w:val="nadpis vyhlášky"/>
    <w:basedOn w:val="Normln"/>
    <w:next w:val="Normln"/>
    <w:uiPriority w:val="99"/>
    <w:rsid w:val="006D18C4"/>
    <w:pPr>
      <w:keepNext/>
      <w:keepLines/>
      <w:spacing w:before="120"/>
      <w:jc w:val="center"/>
      <w:outlineLvl w:val="0"/>
    </w:pPr>
    <w:rPr>
      <w:b/>
      <w:szCs w:val="20"/>
    </w:rPr>
  </w:style>
  <w:style w:type="paragraph" w:customStyle="1" w:styleId="Nadpisparagrafu">
    <w:name w:val="Nadpis paragrafu"/>
    <w:basedOn w:val="Normln"/>
    <w:next w:val="Normln"/>
    <w:uiPriority w:val="99"/>
    <w:rsid w:val="006D18C4"/>
    <w:pPr>
      <w:keepNext/>
      <w:keepLines/>
      <w:spacing w:before="240"/>
      <w:jc w:val="center"/>
      <w:outlineLvl w:val="5"/>
    </w:pPr>
    <w:rPr>
      <w:b/>
      <w:szCs w:val="20"/>
    </w:rPr>
  </w:style>
  <w:style w:type="paragraph" w:customStyle="1" w:styleId="Textodstavce">
    <w:name w:val="Text odstavce"/>
    <w:basedOn w:val="Normln"/>
    <w:uiPriority w:val="99"/>
    <w:rsid w:val="006D18C4"/>
    <w:pPr>
      <w:tabs>
        <w:tab w:val="left" w:pos="851"/>
      </w:tabs>
      <w:spacing w:before="120" w:after="120"/>
      <w:jc w:val="both"/>
      <w:outlineLvl w:val="6"/>
    </w:pPr>
    <w:rPr>
      <w:szCs w:val="20"/>
    </w:rPr>
  </w:style>
  <w:style w:type="character" w:styleId="Odkaznakoment">
    <w:name w:val="annotation reference"/>
    <w:uiPriority w:val="99"/>
    <w:semiHidden/>
    <w:unhideWhenUsed/>
    <w:rsid w:val="00CD460A"/>
    <w:rPr>
      <w:sz w:val="16"/>
      <w:szCs w:val="16"/>
    </w:rPr>
  </w:style>
  <w:style w:type="paragraph" w:styleId="Textkomente">
    <w:name w:val="annotation text"/>
    <w:basedOn w:val="Normln"/>
    <w:link w:val="TextkomenteChar"/>
    <w:uiPriority w:val="99"/>
    <w:unhideWhenUsed/>
    <w:rsid w:val="00CD460A"/>
    <w:rPr>
      <w:sz w:val="20"/>
      <w:szCs w:val="20"/>
    </w:rPr>
  </w:style>
  <w:style w:type="character" w:customStyle="1" w:styleId="TextkomenteChar">
    <w:name w:val="Text komentáře Char"/>
    <w:basedOn w:val="Standardnpsmoodstavce"/>
    <w:link w:val="Textkomente"/>
    <w:uiPriority w:val="99"/>
    <w:rsid w:val="00CD460A"/>
  </w:style>
  <w:style w:type="paragraph" w:styleId="Pedmtkomente">
    <w:name w:val="annotation subject"/>
    <w:basedOn w:val="Textkomente"/>
    <w:next w:val="Textkomente"/>
    <w:link w:val="PedmtkomenteChar"/>
    <w:uiPriority w:val="99"/>
    <w:semiHidden/>
    <w:unhideWhenUsed/>
    <w:rsid w:val="00CD460A"/>
    <w:rPr>
      <w:b/>
      <w:bCs/>
    </w:rPr>
  </w:style>
  <w:style w:type="character" w:customStyle="1" w:styleId="PedmtkomenteChar">
    <w:name w:val="Předmět komentáře Char"/>
    <w:link w:val="Pedmtkomente"/>
    <w:uiPriority w:val="99"/>
    <w:semiHidden/>
    <w:rsid w:val="00CD460A"/>
    <w:rPr>
      <w:b/>
      <w:bCs/>
    </w:rPr>
  </w:style>
  <w:style w:type="paragraph" w:styleId="Revize">
    <w:name w:val="Revision"/>
    <w:hidden/>
    <w:uiPriority w:val="99"/>
    <w:semiHidden/>
    <w:rsid w:val="00CD460A"/>
    <w:rPr>
      <w:sz w:val="24"/>
      <w:szCs w:val="24"/>
    </w:rPr>
  </w:style>
  <w:style w:type="paragraph" w:customStyle="1" w:styleId="title-doc-first">
    <w:name w:val="title-doc-first"/>
    <w:basedOn w:val="Normln"/>
    <w:rsid w:val="001B2F6B"/>
    <w:pPr>
      <w:spacing w:before="100" w:beforeAutospacing="1" w:after="100" w:afterAutospacing="1"/>
    </w:pPr>
  </w:style>
  <w:style w:type="paragraph" w:customStyle="1" w:styleId="title-doc-last">
    <w:name w:val="title-doc-last"/>
    <w:basedOn w:val="Normln"/>
    <w:rsid w:val="001B2F6B"/>
    <w:pPr>
      <w:spacing w:before="100" w:beforeAutospacing="1" w:after="100" w:afterAutospacing="1"/>
    </w:pPr>
  </w:style>
  <w:style w:type="character" w:styleId="Hypertextovodkaz">
    <w:name w:val="Hyperlink"/>
    <w:uiPriority w:val="99"/>
    <w:unhideWhenUsed/>
    <w:rsid w:val="001B2F6B"/>
    <w:rPr>
      <w:color w:val="0000FF"/>
      <w:u w:val="single"/>
    </w:rPr>
  </w:style>
  <w:style w:type="paragraph" w:styleId="Odstavecseseznamem">
    <w:name w:val="List Paragraph"/>
    <w:basedOn w:val="Normln"/>
    <w:uiPriority w:val="34"/>
    <w:qFormat/>
    <w:rsid w:val="00570287"/>
    <w:pPr>
      <w:spacing w:before="120" w:after="120" w:line="264" w:lineRule="auto"/>
      <w:ind w:left="720"/>
      <w:contextualSpacing/>
      <w:jc w:val="both"/>
    </w:pPr>
    <w:rPr>
      <w:rFonts w:ascii="Arial" w:eastAsia="MS Mincho" w:hAnsi="Arial"/>
      <w:lang w:eastAsia="en-US"/>
    </w:rPr>
  </w:style>
  <w:style w:type="paragraph" w:customStyle="1" w:styleId="Dvodovzprvaknovlnku">
    <w:name w:val="Důvodová zpráva (k nov. článku)"/>
    <w:basedOn w:val="Normln"/>
    <w:next w:val="Normln"/>
    <w:qFormat/>
    <w:rsid w:val="009315A2"/>
    <w:pPr>
      <w:keepNext/>
      <w:spacing w:before="120"/>
      <w:jc w:val="both"/>
      <w:outlineLvl w:val="0"/>
    </w:pPr>
    <w:rPr>
      <w:rFonts w:ascii="Arial" w:hAnsi="Arial"/>
      <w:b/>
      <w:color w:val="0000FF"/>
      <w:szCs w:val="20"/>
    </w:rPr>
  </w:style>
  <w:style w:type="paragraph" w:customStyle="1" w:styleId="Textlnku">
    <w:name w:val="Text článku"/>
    <w:basedOn w:val="Normln"/>
    <w:link w:val="TextlnkuChar"/>
    <w:rsid w:val="00521677"/>
    <w:pPr>
      <w:spacing w:before="240"/>
      <w:ind w:firstLine="425"/>
      <w:jc w:val="both"/>
      <w:outlineLvl w:val="5"/>
    </w:pPr>
    <w:rPr>
      <w:szCs w:val="20"/>
    </w:rPr>
  </w:style>
  <w:style w:type="character" w:customStyle="1" w:styleId="ZhlavChar">
    <w:name w:val="Záhlaví Char"/>
    <w:basedOn w:val="Standardnpsmoodstavce"/>
    <w:link w:val="Zhlav"/>
    <w:rsid w:val="00831CDA"/>
    <w:rPr>
      <w:sz w:val="24"/>
      <w:szCs w:val="24"/>
    </w:rPr>
  </w:style>
  <w:style w:type="paragraph" w:styleId="Textpoznpodarou">
    <w:name w:val="footnote text"/>
    <w:basedOn w:val="Normln"/>
    <w:link w:val="TextpoznpodarouChar"/>
    <w:uiPriority w:val="99"/>
    <w:rsid w:val="00444721"/>
    <w:rPr>
      <w:rFonts w:ascii="Arial" w:hAnsi="Arial"/>
      <w:sz w:val="20"/>
      <w:szCs w:val="20"/>
    </w:rPr>
  </w:style>
  <w:style w:type="character" w:customStyle="1" w:styleId="TextpoznpodarouChar">
    <w:name w:val="Text pozn. pod čarou Char"/>
    <w:basedOn w:val="Standardnpsmoodstavce"/>
    <w:link w:val="Textpoznpodarou"/>
    <w:uiPriority w:val="99"/>
    <w:rsid w:val="00444721"/>
    <w:rPr>
      <w:rFonts w:ascii="Arial" w:hAnsi="Arial"/>
    </w:rPr>
  </w:style>
  <w:style w:type="character" w:styleId="Znakapoznpodarou">
    <w:name w:val="footnote reference"/>
    <w:basedOn w:val="Standardnpsmoodstavce"/>
    <w:uiPriority w:val="99"/>
    <w:unhideWhenUsed/>
    <w:rsid w:val="00444721"/>
    <w:rPr>
      <w:vertAlign w:val="superscript"/>
    </w:rPr>
  </w:style>
  <w:style w:type="paragraph" w:customStyle="1" w:styleId="Ministerstvo">
    <w:name w:val="Ministerstvo"/>
    <w:basedOn w:val="Normln"/>
    <w:next w:val="Normln"/>
    <w:rsid w:val="006A59E4"/>
    <w:pPr>
      <w:keepNext/>
      <w:keepLines/>
      <w:spacing w:before="360" w:after="240"/>
      <w:jc w:val="both"/>
    </w:pPr>
    <w:rPr>
      <w:szCs w:val="20"/>
    </w:rPr>
  </w:style>
  <w:style w:type="character" w:customStyle="1" w:styleId="TextlnkuChar">
    <w:name w:val="Text článku Char"/>
    <w:link w:val="Textlnku"/>
    <w:rsid w:val="00043AC0"/>
    <w:rPr>
      <w:sz w:val="24"/>
    </w:rPr>
  </w:style>
  <w:style w:type="paragraph" w:styleId="Rozloendokumentu">
    <w:name w:val="Document Map"/>
    <w:basedOn w:val="Normln"/>
    <w:link w:val="RozloendokumentuChar"/>
    <w:uiPriority w:val="99"/>
    <w:semiHidden/>
    <w:unhideWhenUsed/>
    <w:rsid w:val="00426FFC"/>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426FFC"/>
    <w:rPr>
      <w:rFonts w:ascii="Tahoma" w:hAnsi="Tahoma" w:cs="Tahoma"/>
      <w:sz w:val="16"/>
      <w:szCs w:val="16"/>
    </w:rPr>
  </w:style>
  <w:style w:type="character" w:customStyle="1" w:styleId="ZkladntextChar">
    <w:name w:val="Základní text Char"/>
    <w:link w:val="Zkladntext"/>
    <w:rsid w:val="00980AFC"/>
    <w:rPr>
      <w:sz w:val="24"/>
    </w:rPr>
  </w:style>
  <w:style w:type="character" w:customStyle="1" w:styleId="NovelizanbodChar">
    <w:name w:val="Novelizační bod Char"/>
    <w:link w:val="Novelizanbod"/>
    <w:locked/>
    <w:rsid w:val="006E3DB8"/>
    <w:rPr>
      <w:sz w:val="24"/>
    </w:rPr>
  </w:style>
  <w:style w:type="paragraph" w:customStyle="1" w:styleId="Novelizanbod">
    <w:name w:val="Novelizační bod"/>
    <w:basedOn w:val="Normln"/>
    <w:next w:val="Normln"/>
    <w:link w:val="NovelizanbodChar"/>
    <w:qFormat/>
    <w:rsid w:val="006E3DB8"/>
    <w:pPr>
      <w:keepNext/>
      <w:keepLines/>
      <w:tabs>
        <w:tab w:val="left" w:pos="851"/>
      </w:tabs>
      <w:spacing w:before="480" w:after="120"/>
      <w:jc w:val="both"/>
    </w:pPr>
    <w:rPr>
      <w:szCs w:val="20"/>
    </w:rPr>
  </w:style>
  <w:style w:type="character" w:styleId="Sledovanodkaz">
    <w:name w:val="FollowedHyperlink"/>
    <w:basedOn w:val="Standardnpsmoodstavce"/>
    <w:uiPriority w:val="99"/>
    <w:semiHidden/>
    <w:unhideWhenUsed/>
    <w:rsid w:val="00C13100"/>
    <w:rPr>
      <w:color w:val="800080" w:themeColor="followedHyperlink"/>
      <w:u w:val="single"/>
    </w:rPr>
  </w:style>
  <w:style w:type="paragraph" w:customStyle="1" w:styleId="Default">
    <w:name w:val="Default"/>
    <w:rsid w:val="00771871"/>
    <w:pPr>
      <w:autoSpaceDE w:val="0"/>
      <w:autoSpaceDN w:val="0"/>
      <w:adjustRightInd w:val="0"/>
    </w:pPr>
    <w:rPr>
      <w:rFonts w:ascii="Arial" w:hAnsi="Arial" w:cs="Arial"/>
      <w:color w:val="000000"/>
      <w:sz w:val="24"/>
      <w:szCs w:val="24"/>
    </w:rPr>
  </w:style>
  <w:style w:type="paragraph" w:customStyle="1" w:styleId="Import1">
    <w:name w:val="Import 1"/>
    <w:basedOn w:val="Normln"/>
    <w:rsid w:val="00E17F43"/>
    <w:pPr>
      <w:spacing w:line="216" w:lineRule="auto"/>
      <w:ind w:left="432"/>
    </w:pPr>
    <w:rPr>
      <w:rFonts w:ascii="Courier New" w:eastAsiaTheme="minorHAnsi" w:hAnsi="Courier New" w:cs="Courier New"/>
    </w:rPr>
  </w:style>
  <w:style w:type="paragraph" w:customStyle="1" w:styleId="import10">
    <w:name w:val="import1"/>
    <w:basedOn w:val="Normln"/>
    <w:rsid w:val="00E17F43"/>
    <w:pPr>
      <w:spacing w:line="216" w:lineRule="auto"/>
      <w:ind w:left="432"/>
    </w:pPr>
    <w:rPr>
      <w:rFonts w:ascii="Courier New" w:eastAsiaTheme="minorHAnsi" w:hAnsi="Courier New" w:cs="Courier New"/>
    </w:rPr>
  </w:style>
  <w:style w:type="character" w:customStyle="1" w:styleId="Nadpis5Char">
    <w:name w:val="Nadpis 5 Char"/>
    <w:basedOn w:val="Standardnpsmoodstavce"/>
    <w:link w:val="Nadpis5"/>
    <w:uiPriority w:val="9"/>
    <w:semiHidden/>
    <w:rsid w:val="00DD7D9D"/>
    <w:rPr>
      <w:rFonts w:asciiTheme="majorHAnsi" w:eastAsiaTheme="majorEastAsia" w:hAnsiTheme="majorHAnsi" w:cstheme="majorBidi"/>
      <w:color w:val="365F91" w:themeColor="accent1" w:themeShade="BF"/>
      <w:sz w:val="24"/>
      <w:szCs w:val="24"/>
    </w:rPr>
  </w:style>
  <w:style w:type="paragraph" w:customStyle="1" w:styleId="DTlotextu1">
    <w:name w:val="D Tělo textu 1"/>
    <w:basedOn w:val="Normln"/>
    <w:uiPriority w:val="99"/>
    <w:qFormat/>
    <w:rsid w:val="00344DA6"/>
    <w:pPr>
      <w:spacing w:before="120" w:after="120"/>
      <w:jc w:val="both"/>
    </w:pPr>
  </w:style>
  <w:style w:type="paragraph" w:customStyle="1" w:styleId="CM1">
    <w:name w:val="CM1"/>
    <w:basedOn w:val="Normln"/>
    <w:next w:val="Normln"/>
    <w:uiPriority w:val="99"/>
    <w:rsid w:val="001627E9"/>
    <w:pPr>
      <w:autoSpaceDE w:val="0"/>
      <w:autoSpaceDN w:val="0"/>
      <w:adjustRightInd w:val="0"/>
    </w:pPr>
    <w:rPr>
      <w:rFonts w:eastAsiaTheme="minorHAnsi"/>
      <w:lang w:eastAsia="en-US"/>
    </w:rPr>
  </w:style>
  <w:style w:type="paragraph" w:customStyle="1" w:styleId="Dvodovzprva">
    <w:name w:val="Důvodová zpráva"/>
    <w:basedOn w:val="Normln"/>
    <w:link w:val="DvodovzprvaChar"/>
    <w:uiPriority w:val="99"/>
    <w:qFormat/>
    <w:rsid w:val="00B96869"/>
    <w:pPr>
      <w:spacing w:before="120"/>
      <w:jc w:val="both"/>
      <w:outlineLvl w:val="0"/>
    </w:pPr>
    <w:rPr>
      <w:rFonts w:ascii="Arial" w:hAnsi="Arial"/>
      <w:color w:val="0000FF"/>
      <w:sz w:val="22"/>
      <w:szCs w:val="20"/>
    </w:rPr>
  </w:style>
  <w:style w:type="character" w:customStyle="1" w:styleId="DvodovzprvaChar">
    <w:name w:val="Důvodová zpráva Char"/>
    <w:link w:val="Dvodovzprva"/>
    <w:uiPriority w:val="99"/>
    <w:locked/>
    <w:rsid w:val="00B96869"/>
    <w:rPr>
      <w:rFonts w:ascii="Arial" w:hAnsi="Arial"/>
      <w:color w:val="0000FF"/>
      <w:sz w:val="22"/>
    </w:rPr>
  </w:style>
  <w:style w:type="paragraph" w:customStyle="1" w:styleId="Dvodovzprvakbodu">
    <w:name w:val="Důvodová zpráva (k bodu)"/>
    <w:basedOn w:val="Dvodovzprva"/>
    <w:next w:val="Dvodovzprva"/>
    <w:qFormat/>
    <w:rsid w:val="00B96869"/>
    <w:pPr>
      <w:keepNext/>
      <w:numPr>
        <w:numId w:val="22"/>
      </w:numPr>
      <w:tabs>
        <w:tab w:val="num" w:pos="360"/>
      </w:tabs>
      <w:outlineLvl w:val="2"/>
    </w:pPr>
    <w:rPr>
      <w:b/>
    </w:rPr>
  </w:style>
  <w:style w:type="paragraph" w:customStyle="1" w:styleId="TextzvltnstiDZ">
    <w:name w:val="Text zvláštní části DZ"/>
    <w:basedOn w:val="Dvodovzprva"/>
    <w:link w:val="TextzvltnstiDZChar"/>
    <w:qFormat/>
    <w:rsid w:val="00B96869"/>
    <w:pPr>
      <w:outlineLvl w:val="9"/>
    </w:pPr>
    <w:rPr>
      <w:rFonts w:ascii="Times New Roman" w:hAnsi="Times New Roman"/>
      <w:color w:val="auto"/>
      <w:sz w:val="24"/>
      <w:szCs w:val="24"/>
    </w:rPr>
  </w:style>
  <w:style w:type="character" w:customStyle="1" w:styleId="TextzvltnstiDZChar">
    <w:name w:val="Text zvláštní části DZ Char"/>
    <w:link w:val="TextzvltnstiDZ"/>
    <w:rsid w:val="00B9686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9037">
      <w:bodyDiv w:val="1"/>
      <w:marLeft w:val="0"/>
      <w:marRight w:val="0"/>
      <w:marTop w:val="0"/>
      <w:marBottom w:val="0"/>
      <w:divBdr>
        <w:top w:val="none" w:sz="0" w:space="0" w:color="auto"/>
        <w:left w:val="none" w:sz="0" w:space="0" w:color="auto"/>
        <w:bottom w:val="none" w:sz="0" w:space="0" w:color="auto"/>
        <w:right w:val="none" w:sz="0" w:space="0" w:color="auto"/>
      </w:divBdr>
    </w:div>
    <w:div w:id="339431845">
      <w:bodyDiv w:val="1"/>
      <w:marLeft w:val="0"/>
      <w:marRight w:val="0"/>
      <w:marTop w:val="0"/>
      <w:marBottom w:val="0"/>
      <w:divBdr>
        <w:top w:val="none" w:sz="0" w:space="0" w:color="auto"/>
        <w:left w:val="none" w:sz="0" w:space="0" w:color="auto"/>
        <w:bottom w:val="none" w:sz="0" w:space="0" w:color="auto"/>
        <w:right w:val="none" w:sz="0" w:space="0" w:color="auto"/>
      </w:divBdr>
    </w:div>
    <w:div w:id="353262770">
      <w:bodyDiv w:val="1"/>
      <w:marLeft w:val="0"/>
      <w:marRight w:val="0"/>
      <w:marTop w:val="0"/>
      <w:marBottom w:val="0"/>
      <w:divBdr>
        <w:top w:val="none" w:sz="0" w:space="0" w:color="auto"/>
        <w:left w:val="none" w:sz="0" w:space="0" w:color="auto"/>
        <w:bottom w:val="none" w:sz="0" w:space="0" w:color="auto"/>
        <w:right w:val="none" w:sz="0" w:space="0" w:color="auto"/>
      </w:divBdr>
    </w:div>
    <w:div w:id="353583272">
      <w:bodyDiv w:val="1"/>
      <w:marLeft w:val="0"/>
      <w:marRight w:val="0"/>
      <w:marTop w:val="0"/>
      <w:marBottom w:val="0"/>
      <w:divBdr>
        <w:top w:val="none" w:sz="0" w:space="0" w:color="auto"/>
        <w:left w:val="none" w:sz="0" w:space="0" w:color="auto"/>
        <w:bottom w:val="none" w:sz="0" w:space="0" w:color="auto"/>
        <w:right w:val="none" w:sz="0" w:space="0" w:color="auto"/>
      </w:divBdr>
    </w:div>
    <w:div w:id="397173660">
      <w:bodyDiv w:val="1"/>
      <w:marLeft w:val="0"/>
      <w:marRight w:val="0"/>
      <w:marTop w:val="0"/>
      <w:marBottom w:val="0"/>
      <w:divBdr>
        <w:top w:val="none" w:sz="0" w:space="0" w:color="auto"/>
        <w:left w:val="none" w:sz="0" w:space="0" w:color="auto"/>
        <w:bottom w:val="none" w:sz="0" w:space="0" w:color="auto"/>
        <w:right w:val="none" w:sz="0" w:space="0" w:color="auto"/>
      </w:divBdr>
    </w:div>
    <w:div w:id="444153807">
      <w:bodyDiv w:val="1"/>
      <w:marLeft w:val="0"/>
      <w:marRight w:val="0"/>
      <w:marTop w:val="0"/>
      <w:marBottom w:val="0"/>
      <w:divBdr>
        <w:top w:val="none" w:sz="0" w:space="0" w:color="auto"/>
        <w:left w:val="none" w:sz="0" w:space="0" w:color="auto"/>
        <w:bottom w:val="none" w:sz="0" w:space="0" w:color="auto"/>
        <w:right w:val="none" w:sz="0" w:space="0" w:color="auto"/>
      </w:divBdr>
    </w:div>
    <w:div w:id="550700368">
      <w:bodyDiv w:val="1"/>
      <w:marLeft w:val="0"/>
      <w:marRight w:val="0"/>
      <w:marTop w:val="0"/>
      <w:marBottom w:val="0"/>
      <w:divBdr>
        <w:top w:val="none" w:sz="0" w:space="0" w:color="auto"/>
        <w:left w:val="none" w:sz="0" w:space="0" w:color="auto"/>
        <w:bottom w:val="none" w:sz="0" w:space="0" w:color="auto"/>
        <w:right w:val="none" w:sz="0" w:space="0" w:color="auto"/>
      </w:divBdr>
    </w:div>
    <w:div w:id="555167333">
      <w:bodyDiv w:val="1"/>
      <w:marLeft w:val="0"/>
      <w:marRight w:val="0"/>
      <w:marTop w:val="0"/>
      <w:marBottom w:val="0"/>
      <w:divBdr>
        <w:top w:val="none" w:sz="0" w:space="0" w:color="auto"/>
        <w:left w:val="none" w:sz="0" w:space="0" w:color="auto"/>
        <w:bottom w:val="none" w:sz="0" w:space="0" w:color="auto"/>
        <w:right w:val="none" w:sz="0" w:space="0" w:color="auto"/>
      </w:divBdr>
    </w:div>
    <w:div w:id="584266176">
      <w:bodyDiv w:val="1"/>
      <w:marLeft w:val="0"/>
      <w:marRight w:val="0"/>
      <w:marTop w:val="0"/>
      <w:marBottom w:val="0"/>
      <w:divBdr>
        <w:top w:val="none" w:sz="0" w:space="0" w:color="auto"/>
        <w:left w:val="none" w:sz="0" w:space="0" w:color="auto"/>
        <w:bottom w:val="none" w:sz="0" w:space="0" w:color="auto"/>
        <w:right w:val="none" w:sz="0" w:space="0" w:color="auto"/>
      </w:divBdr>
    </w:div>
    <w:div w:id="608050060">
      <w:bodyDiv w:val="1"/>
      <w:marLeft w:val="0"/>
      <w:marRight w:val="0"/>
      <w:marTop w:val="0"/>
      <w:marBottom w:val="0"/>
      <w:divBdr>
        <w:top w:val="none" w:sz="0" w:space="0" w:color="auto"/>
        <w:left w:val="none" w:sz="0" w:space="0" w:color="auto"/>
        <w:bottom w:val="none" w:sz="0" w:space="0" w:color="auto"/>
        <w:right w:val="none" w:sz="0" w:space="0" w:color="auto"/>
      </w:divBdr>
    </w:div>
    <w:div w:id="754740914">
      <w:bodyDiv w:val="1"/>
      <w:marLeft w:val="0"/>
      <w:marRight w:val="0"/>
      <w:marTop w:val="0"/>
      <w:marBottom w:val="0"/>
      <w:divBdr>
        <w:top w:val="none" w:sz="0" w:space="0" w:color="auto"/>
        <w:left w:val="none" w:sz="0" w:space="0" w:color="auto"/>
        <w:bottom w:val="none" w:sz="0" w:space="0" w:color="auto"/>
        <w:right w:val="none" w:sz="0" w:space="0" w:color="auto"/>
      </w:divBdr>
    </w:div>
    <w:div w:id="755636639">
      <w:bodyDiv w:val="1"/>
      <w:marLeft w:val="0"/>
      <w:marRight w:val="0"/>
      <w:marTop w:val="0"/>
      <w:marBottom w:val="0"/>
      <w:divBdr>
        <w:top w:val="none" w:sz="0" w:space="0" w:color="auto"/>
        <w:left w:val="none" w:sz="0" w:space="0" w:color="auto"/>
        <w:bottom w:val="none" w:sz="0" w:space="0" w:color="auto"/>
        <w:right w:val="none" w:sz="0" w:space="0" w:color="auto"/>
      </w:divBdr>
    </w:div>
    <w:div w:id="796026470">
      <w:bodyDiv w:val="1"/>
      <w:marLeft w:val="0"/>
      <w:marRight w:val="0"/>
      <w:marTop w:val="0"/>
      <w:marBottom w:val="0"/>
      <w:divBdr>
        <w:top w:val="none" w:sz="0" w:space="0" w:color="auto"/>
        <w:left w:val="none" w:sz="0" w:space="0" w:color="auto"/>
        <w:bottom w:val="none" w:sz="0" w:space="0" w:color="auto"/>
        <w:right w:val="none" w:sz="0" w:space="0" w:color="auto"/>
      </w:divBdr>
      <w:divsChild>
        <w:div w:id="284310974">
          <w:marLeft w:val="576"/>
          <w:marRight w:val="0"/>
          <w:marTop w:val="120"/>
          <w:marBottom w:val="0"/>
          <w:divBdr>
            <w:top w:val="none" w:sz="0" w:space="0" w:color="auto"/>
            <w:left w:val="none" w:sz="0" w:space="0" w:color="auto"/>
            <w:bottom w:val="none" w:sz="0" w:space="0" w:color="auto"/>
            <w:right w:val="none" w:sz="0" w:space="0" w:color="auto"/>
          </w:divBdr>
        </w:div>
      </w:divsChild>
    </w:div>
    <w:div w:id="829904202">
      <w:bodyDiv w:val="1"/>
      <w:marLeft w:val="0"/>
      <w:marRight w:val="0"/>
      <w:marTop w:val="0"/>
      <w:marBottom w:val="0"/>
      <w:divBdr>
        <w:top w:val="none" w:sz="0" w:space="0" w:color="auto"/>
        <w:left w:val="none" w:sz="0" w:space="0" w:color="auto"/>
        <w:bottom w:val="none" w:sz="0" w:space="0" w:color="auto"/>
        <w:right w:val="none" w:sz="0" w:space="0" w:color="auto"/>
      </w:divBdr>
    </w:div>
    <w:div w:id="1016268086">
      <w:bodyDiv w:val="1"/>
      <w:marLeft w:val="0"/>
      <w:marRight w:val="0"/>
      <w:marTop w:val="0"/>
      <w:marBottom w:val="0"/>
      <w:divBdr>
        <w:top w:val="none" w:sz="0" w:space="0" w:color="auto"/>
        <w:left w:val="none" w:sz="0" w:space="0" w:color="auto"/>
        <w:bottom w:val="none" w:sz="0" w:space="0" w:color="auto"/>
        <w:right w:val="none" w:sz="0" w:space="0" w:color="auto"/>
      </w:divBdr>
    </w:div>
    <w:div w:id="1025406058">
      <w:bodyDiv w:val="1"/>
      <w:marLeft w:val="0"/>
      <w:marRight w:val="0"/>
      <w:marTop w:val="0"/>
      <w:marBottom w:val="0"/>
      <w:divBdr>
        <w:top w:val="none" w:sz="0" w:space="0" w:color="auto"/>
        <w:left w:val="none" w:sz="0" w:space="0" w:color="auto"/>
        <w:bottom w:val="none" w:sz="0" w:space="0" w:color="auto"/>
        <w:right w:val="none" w:sz="0" w:space="0" w:color="auto"/>
      </w:divBdr>
    </w:div>
    <w:div w:id="1032801257">
      <w:bodyDiv w:val="1"/>
      <w:marLeft w:val="0"/>
      <w:marRight w:val="0"/>
      <w:marTop w:val="0"/>
      <w:marBottom w:val="0"/>
      <w:divBdr>
        <w:top w:val="none" w:sz="0" w:space="0" w:color="auto"/>
        <w:left w:val="none" w:sz="0" w:space="0" w:color="auto"/>
        <w:bottom w:val="none" w:sz="0" w:space="0" w:color="auto"/>
        <w:right w:val="none" w:sz="0" w:space="0" w:color="auto"/>
      </w:divBdr>
    </w:div>
    <w:div w:id="1036927213">
      <w:bodyDiv w:val="1"/>
      <w:marLeft w:val="0"/>
      <w:marRight w:val="0"/>
      <w:marTop w:val="0"/>
      <w:marBottom w:val="0"/>
      <w:divBdr>
        <w:top w:val="none" w:sz="0" w:space="0" w:color="auto"/>
        <w:left w:val="none" w:sz="0" w:space="0" w:color="auto"/>
        <w:bottom w:val="none" w:sz="0" w:space="0" w:color="auto"/>
        <w:right w:val="none" w:sz="0" w:space="0" w:color="auto"/>
      </w:divBdr>
    </w:div>
    <w:div w:id="1100952678">
      <w:bodyDiv w:val="1"/>
      <w:marLeft w:val="0"/>
      <w:marRight w:val="0"/>
      <w:marTop w:val="0"/>
      <w:marBottom w:val="0"/>
      <w:divBdr>
        <w:top w:val="none" w:sz="0" w:space="0" w:color="auto"/>
        <w:left w:val="none" w:sz="0" w:space="0" w:color="auto"/>
        <w:bottom w:val="none" w:sz="0" w:space="0" w:color="auto"/>
        <w:right w:val="none" w:sz="0" w:space="0" w:color="auto"/>
      </w:divBdr>
    </w:div>
    <w:div w:id="1167286073">
      <w:bodyDiv w:val="1"/>
      <w:marLeft w:val="0"/>
      <w:marRight w:val="0"/>
      <w:marTop w:val="0"/>
      <w:marBottom w:val="0"/>
      <w:divBdr>
        <w:top w:val="none" w:sz="0" w:space="0" w:color="auto"/>
        <w:left w:val="none" w:sz="0" w:space="0" w:color="auto"/>
        <w:bottom w:val="none" w:sz="0" w:space="0" w:color="auto"/>
        <w:right w:val="none" w:sz="0" w:space="0" w:color="auto"/>
      </w:divBdr>
    </w:div>
    <w:div w:id="1191071775">
      <w:bodyDiv w:val="1"/>
      <w:marLeft w:val="0"/>
      <w:marRight w:val="0"/>
      <w:marTop w:val="0"/>
      <w:marBottom w:val="0"/>
      <w:divBdr>
        <w:top w:val="none" w:sz="0" w:space="0" w:color="auto"/>
        <w:left w:val="none" w:sz="0" w:space="0" w:color="auto"/>
        <w:bottom w:val="none" w:sz="0" w:space="0" w:color="auto"/>
        <w:right w:val="none" w:sz="0" w:space="0" w:color="auto"/>
      </w:divBdr>
    </w:div>
    <w:div w:id="1240679840">
      <w:bodyDiv w:val="1"/>
      <w:marLeft w:val="0"/>
      <w:marRight w:val="0"/>
      <w:marTop w:val="0"/>
      <w:marBottom w:val="0"/>
      <w:divBdr>
        <w:top w:val="none" w:sz="0" w:space="0" w:color="auto"/>
        <w:left w:val="none" w:sz="0" w:space="0" w:color="auto"/>
        <w:bottom w:val="none" w:sz="0" w:space="0" w:color="auto"/>
        <w:right w:val="none" w:sz="0" w:space="0" w:color="auto"/>
      </w:divBdr>
    </w:div>
    <w:div w:id="1356226853">
      <w:bodyDiv w:val="1"/>
      <w:marLeft w:val="0"/>
      <w:marRight w:val="0"/>
      <w:marTop w:val="0"/>
      <w:marBottom w:val="0"/>
      <w:divBdr>
        <w:top w:val="none" w:sz="0" w:space="0" w:color="auto"/>
        <w:left w:val="none" w:sz="0" w:space="0" w:color="auto"/>
        <w:bottom w:val="none" w:sz="0" w:space="0" w:color="auto"/>
        <w:right w:val="none" w:sz="0" w:space="0" w:color="auto"/>
      </w:divBdr>
    </w:div>
    <w:div w:id="1397390875">
      <w:bodyDiv w:val="1"/>
      <w:marLeft w:val="0"/>
      <w:marRight w:val="0"/>
      <w:marTop w:val="0"/>
      <w:marBottom w:val="0"/>
      <w:divBdr>
        <w:top w:val="none" w:sz="0" w:space="0" w:color="auto"/>
        <w:left w:val="none" w:sz="0" w:space="0" w:color="auto"/>
        <w:bottom w:val="none" w:sz="0" w:space="0" w:color="auto"/>
        <w:right w:val="none" w:sz="0" w:space="0" w:color="auto"/>
      </w:divBdr>
    </w:div>
    <w:div w:id="1409420231">
      <w:bodyDiv w:val="1"/>
      <w:marLeft w:val="0"/>
      <w:marRight w:val="0"/>
      <w:marTop w:val="0"/>
      <w:marBottom w:val="0"/>
      <w:divBdr>
        <w:top w:val="none" w:sz="0" w:space="0" w:color="auto"/>
        <w:left w:val="none" w:sz="0" w:space="0" w:color="auto"/>
        <w:bottom w:val="none" w:sz="0" w:space="0" w:color="auto"/>
        <w:right w:val="none" w:sz="0" w:space="0" w:color="auto"/>
      </w:divBdr>
    </w:div>
    <w:div w:id="1410273791">
      <w:bodyDiv w:val="1"/>
      <w:marLeft w:val="0"/>
      <w:marRight w:val="0"/>
      <w:marTop w:val="0"/>
      <w:marBottom w:val="0"/>
      <w:divBdr>
        <w:top w:val="none" w:sz="0" w:space="0" w:color="auto"/>
        <w:left w:val="none" w:sz="0" w:space="0" w:color="auto"/>
        <w:bottom w:val="none" w:sz="0" w:space="0" w:color="auto"/>
        <w:right w:val="none" w:sz="0" w:space="0" w:color="auto"/>
      </w:divBdr>
    </w:div>
    <w:div w:id="1530679299">
      <w:bodyDiv w:val="1"/>
      <w:marLeft w:val="0"/>
      <w:marRight w:val="0"/>
      <w:marTop w:val="0"/>
      <w:marBottom w:val="0"/>
      <w:divBdr>
        <w:top w:val="none" w:sz="0" w:space="0" w:color="auto"/>
        <w:left w:val="none" w:sz="0" w:space="0" w:color="auto"/>
        <w:bottom w:val="none" w:sz="0" w:space="0" w:color="auto"/>
        <w:right w:val="none" w:sz="0" w:space="0" w:color="auto"/>
      </w:divBdr>
    </w:div>
    <w:div w:id="1571381406">
      <w:bodyDiv w:val="1"/>
      <w:marLeft w:val="0"/>
      <w:marRight w:val="0"/>
      <w:marTop w:val="0"/>
      <w:marBottom w:val="0"/>
      <w:divBdr>
        <w:top w:val="none" w:sz="0" w:space="0" w:color="auto"/>
        <w:left w:val="none" w:sz="0" w:space="0" w:color="auto"/>
        <w:bottom w:val="none" w:sz="0" w:space="0" w:color="auto"/>
        <w:right w:val="none" w:sz="0" w:space="0" w:color="auto"/>
      </w:divBdr>
    </w:div>
    <w:div w:id="1577130034">
      <w:bodyDiv w:val="1"/>
      <w:marLeft w:val="0"/>
      <w:marRight w:val="0"/>
      <w:marTop w:val="0"/>
      <w:marBottom w:val="0"/>
      <w:divBdr>
        <w:top w:val="none" w:sz="0" w:space="0" w:color="auto"/>
        <w:left w:val="none" w:sz="0" w:space="0" w:color="auto"/>
        <w:bottom w:val="none" w:sz="0" w:space="0" w:color="auto"/>
        <w:right w:val="none" w:sz="0" w:space="0" w:color="auto"/>
      </w:divBdr>
    </w:div>
    <w:div w:id="1579708914">
      <w:bodyDiv w:val="1"/>
      <w:marLeft w:val="0"/>
      <w:marRight w:val="0"/>
      <w:marTop w:val="0"/>
      <w:marBottom w:val="0"/>
      <w:divBdr>
        <w:top w:val="none" w:sz="0" w:space="0" w:color="auto"/>
        <w:left w:val="none" w:sz="0" w:space="0" w:color="auto"/>
        <w:bottom w:val="none" w:sz="0" w:space="0" w:color="auto"/>
        <w:right w:val="none" w:sz="0" w:space="0" w:color="auto"/>
      </w:divBdr>
    </w:div>
    <w:div w:id="1587425160">
      <w:bodyDiv w:val="1"/>
      <w:marLeft w:val="0"/>
      <w:marRight w:val="0"/>
      <w:marTop w:val="0"/>
      <w:marBottom w:val="0"/>
      <w:divBdr>
        <w:top w:val="none" w:sz="0" w:space="0" w:color="auto"/>
        <w:left w:val="none" w:sz="0" w:space="0" w:color="auto"/>
        <w:bottom w:val="none" w:sz="0" w:space="0" w:color="auto"/>
        <w:right w:val="none" w:sz="0" w:space="0" w:color="auto"/>
      </w:divBdr>
    </w:div>
    <w:div w:id="1591740563">
      <w:bodyDiv w:val="1"/>
      <w:marLeft w:val="0"/>
      <w:marRight w:val="0"/>
      <w:marTop w:val="0"/>
      <w:marBottom w:val="0"/>
      <w:divBdr>
        <w:top w:val="none" w:sz="0" w:space="0" w:color="auto"/>
        <w:left w:val="none" w:sz="0" w:space="0" w:color="auto"/>
        <w:bottom w:val="none" w:sz="0" w:space="0" w:color="auto"/>
        <w:right w:val="none" w:sz="0" w:space="0" w:color="auto"/>
      </w:divBdr>
    </w:div>
    <w:div w:id="1733310666">
      <w:bodyDiv w:val="1"/>
      <w:marLeft w:val="0"/>
      <w:marRight w:val="0"/>
      <w:marTop w:val="0"/>
      <w:marBottom w:val="0"/>
      <w:divBdr>
        <w:top w:val="none" w:sz="0" w:space="0" w:color="auto"/>
        <w:left w:val="none" w:sz="0" w:space="0" w:color="auto"/>
        <w:bottom w:val="none" w:sz="0" w:space="0" w:color="auto"/>
        <w:right w:val="none" w:sz="0" w:space="0" w:color="auto"/>
      </w:divBdr>
    </w:div>
    <w:div w:id="1795442731">
      <w:bodyDiv w:val="1"/>
      <w:marLeft w:val="0"/>
      <w:marRight w:val="0"/>
      <w:marTop w:val="0"/>
      <w:marBottom w:val="0"/>
      <w:divBdr>
        <w:top w:val="none" w:sz="0" w:space="0" w:color="auto"/>
        <w:left w:val="none" w:sz="0" w:space="0" w:color="auto"/>
        <w:bottom w:val="none" w:sz="0" w:space="0" w:color="auto"/>
        <w:right w:val="none" w:sz="0" w:space="0" w:color="auto"/>
      </w:divBdr>
    </w:div>
    <w:div w:id="1916236098">
      <w:bodyDiv w:val="1"/>
      <w:marLeft w:val="0"/>
      <w:marRight w:val="0"/>
      <w:marTop w:val="0"/>
      <w:marBottom w:val="0"/>
      <w:divBdr>
        <w:top w:val="none" w:sz="0" w:space="0" w:color="auto"/>
        <w:left w:val="none" w:sz="0" w:space="0" w:color="auto"/>
        <w:bottom w:val="none" w:sz="0" w:space="0" w:color="auto"/>
        <w:right w:val="none" w:sz="0" w:space="0" w:color="auto"/>
      </w:divBdr>
    </w:div>
    <w:div w:id="1995142443">
      <w:bodyDiv w:val="1"/>
      <w:marLeft w:val="0"/>
      <w:marRight w:val="0"/>
      <w:marTop w:val="0"/>
      <w:marBottom w:val="0"/>
      <w:divBdr>
        <w:top w:val="none" w:sz="0" w:space="0" w:color="auto"/>
        <w:left w:val="none" w:sz="0" w:space="0" w:color="auto"/>
        <w:bottom w:val="none" w:sz="0" w:space="0" w:color="auto"/>
        <w:right w:val="none" w:sz="0" w:space="0" w:color="auto"/>
      </w:divBdr>
    </w:div>
    <w:div w:id="2092652558">
      <w:bodyDiv w:val="1"/>
      <w:marLeft w:val="0"/>
      <w:marRight w:val="0"/>
      <w:marTop w:val="0"/>
      <w:marBottom w:val="0"/>
      <w:divBdr>
        <w:top w:val="none" w:sz="0" w:space="0" w:color="auto"/>
        <w:left w:val="none" w:sz="0" w:space="0" w:color="auto"/>
        <w:bottom w:val="none" w:sz="0" w:space="0" w:color="auto"/>
        <w:right w:val="none" w:sz="0" w:space="0" w:color="auto"/>
      </w:divBdr>
    </w:div>
    <w:div w:id="2095080649">
      <w:bodyDiv w:val="1"/>
      <w:marLeft w:val="0"/>
      <w:marRight w:val="0"/>
      <w:marTop w:val="0"/>
      <w:marBottom w:val="0"/>
      <w:divBdr>
        <w:top w:val="none" w:sz="0" w:space="0" w:color="auto"/>
        <w:left w:val="none" w:sz="0" w:space="0" w:color="auto"/>
        <w:bottom w:val="none" w:sz="0" w:space="0" w:color="auto"/>
        <w:right w:val="none" w:sz="0" w:space="0" w:color="auto"/>
      </w:divBdr>
    </w:div>
    <w:div w:id="2099255499">
      <w:bodyDiv w:val="1"/>
      <w:marLeft w:val="0"/>
      <w:marRight w:val="0"/>
      <w:marTop w:val="0"/>
      <w:marBottom w:val="0"/>
      <w:divBdr>
        <w:top w:val="none" w:sz="0" w:space="0" w:color="auto"/>
        <w:left w:val="none" w:sz="0" w:space="0" w:color="auto"/>
        <w:bottom w:val="none" w:sz="0" w:space="0" w:color="auto"/>
        <w:right w:val="none" w:sz="0" w:space="0" w:color="auto"/>
      </w:divBdr>
    </w:div>
    <w:div w:id="214626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1E80BD2CC09D9458CD1707A4C1E9E71" ma:contentTypeVersion="10" ma:contentTypeDescription="Vytvoří nový dokument" ma:contentTypeScope="" ma:versionID="0093d3669437f94f2be08043b7a8a015">
  <xsd:schema xmlns:xsd="http://www.w3.org/2001/XMLSchema" xmlns:xs="http://www.w3.org/2001/XMLSchema" xmlns:p="http://schemas.microsoft.com/office/2006/metadata/properties" xmlns:ns2="d83aee56-ffaf-459a-b196-6a8dfb455ef7" xmlns:ns3="1d457c51-b797-4182-928a-400bf6487635" targetNamespace="http://schemas.microsoft.com/office/2006/metadata/properties" ma:root="true" ma:fieldsID="f78ab5373fa01bddeb10bfd50483461c" ns2:_="" ns3:_="">
    <xsd:import namespace="d83aee56-ffaf-459a-b196-6a8dfb455ef7"/>
    <xsd:import namespace="1d457c51-b797-4182-928a-400bf64876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aee56-ffaf-459a-b196-6a8dfb455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457c51-b797-4182-928a-400bf6487635" elementFormDefault="qualified">
    <xsd:import namespace="http://schemas.microsoft.com/office/2006/documentManagement/types"/>
    <xsd:import namespace="http://schemas.microsoft.com/office/infopath/2007/PartnerControls"/>
    <xsd:element name="SharedWithUsers" ma:index="12"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913812-B429-4BFC-B018-A33280D0BA90}">
  <ds:schemaRefs>
    <ds:schemaRef ds:uri="http://schemas.openxmlformats.org/officeDocument/2006/bibliography"/>
  </ds:schemaRefs>
</ds:datastoreItem>
</file>

<file path=customXml/itemProps2.xml><?xml version="1.0" encoding="utf-8"?>
<ds:datastoreItem xmlns:ds="http://schemas.openxmlformats.org/officeDocument/2006/customXml" ds:itemID="{A8327822-003C-4A01-8B04-37A3C08CA954}">
  <ds:schemaRefs>
    <ds:schemaRef ds:uri="http://schemas.microsoft.com/sharepoint/v3/contenttype/forms"/>
  </ds:schemaRefs>
</ds:datastoreItem>
</file>

<file path=customXml/itemProps3.xml><?xml version="1.0" encoding="utf-8"?>
<ds:datastoreItem xmlns:ds="http://schemas.openxmlformats.org/officeDocument/2006/customXml" ds:itemID="{A9AC0796-B22A-4830-81E7-B586576FD1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3aee56-ffaf-459a-b196-6a8dfb455ef7"/>
    <ds:schemaRef ds:uri="1d457c51-b797-4182-928a-400bf6487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3C824E-B3EE-4C18-9D80-F13E01BF580C}">
  <ds:schemaRefs>
    <ds:schemaRef ds:uri="http://schemas.microsoft.com/office/2006/documentManagement/types"/>
    <ds:schemaRef ds:uri="http://purl.org/dc/elements/1.1/"/>
    <ds:schemaRef ds:uri="http://schemas.microsoft.com/office/2006/metadata/properties"/>
    <ds:schemaRef ds:uri="d83aee56-ffaf-459a-b196-6a8dfb455ef7"/>
    <ds:schemaRef ds:uri="1d457c51-b797-4182-928a-400bf6487635"/>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10</Pages>
  <Words>4297</Words>
  <Characters>24181</Characters>
  <Application>Microsoft Office Word</Application>
  <DocSecurity>0</DocSecurity>
  <Lines>201</Lines>
  <Paragraphs>56</Paragraphs>
  <ScaleCrop>false</ScaleCrop>
  <HeadingPairs>
    <vt:vector size="2" baseType="variant">
      <vt:variant>
        <vt:lpstr>Název</vt:lpstr>
      </vt:variant>
      <vt:variant>
        <vt:i4>1</vt:i4>
      </vt:variant>
    </vt:vector>
  </HeadingPairs>
  <TitlesOfParts>
    <vt:vector size="1" baseType="lpstr">
      <vt:lpstr>ODŮVODNĚNÍ</vt:lpstr>
    </vt:vector>
  </TitlesOfParts>
  <Company>CELNÍ ŘEDITELSTVÍ</Company>
  <LinksUpToDate>false</LinksUpToDate>
  <CharactersWithSpaces>28422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ODŮVODNĚNÍ</dc:title>
  <dc:subject/>
  <dc:creator>test</dc:creator>
  <cp:keywords/>
  <dc:description/>
  <cp:lastModifiedBy>Stibůrková Jana Mgr.</cp:lastModifiedBy>
  <cp:revision>14</cp:revision>
  <cp:lastPrinted>2018-07-27T08:19:00Z</cp:lastPrinted>
  <dcterms:created xsi:type="dcterms:W3CDTF">2025-02-12T14:40:00Z</dcterms:created>
  <dcterms:modified xsi:type="dcterms:W3CDTF">2025-03-26T13:02:00Z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0x01010081E80BD2CC09D9458CD1707A4C1E9E71</vt:lpwstr>
  </property>
</Properties>
</file>