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A95B4" w14:textId="77777777" w:rsidR="00676919" w:rsidRPr="00737E4D" w:rsidRDefault="00676919" w:rsidP="00F672D6">
      <w:pPr>
        <w:widowControl w:val="0"/>
        <w:spacing w:before="240" w:after="480"/>
        <w:jc w:val="center"/>
        <w:rPr>
          <w:b/>
          <w:szCs w:val="22"/>
        </w:rPr>
      </w:pPr>
      <w:r w:rsidRPr="00737E4D">
        <w:rPr>
          <w:b/>
          <w:szCs w:val="22"/>
        </w:rPr>
        <w:t>PŘEDKLÁDACÍ ZPRÁVA</w:t>
      </w:r>
    </w:p>
    <w:p w14:paraId="617DE431" w14:textId="60ADB099" w:rsidR="00325401" w:rsidRDefault="00EE4CC3" w:rsidP="00F672D6">
      <w:pPr>
        <w:widowControl w:val="0"/>
        <w:spacing w:after="120"/>
        <w:jc w:val="both"/>
        <w:rPr>
          <w:bCs/>
          <w:szCs w:val="22"/>
        </w:rPr>
      </w:pPr>
      <w:r w:rsidRPr="00EE4CC3">
        <w:t>Ministerstvo financí předkládá materiál</w:t>
      </w:r>
      <w:r w:rsidR="002C56AF" w:rsidRPr="002D0796">
        <w:t xml:space="preserve"> </w:t>
      </w:r>
      <w:r w:rsidR="00676919" w:rsidRPr="002D0796">
        <w:rPr>
          <w:bCs/>
          <w:i/>
          <w:szCs w:val="22"/>
        </w:rPr>
        <w:t>„</w:t>
      </w:r>
      <w:r w:rsidR="0036429D" w:rsidRPr="005A4F48">
        <w:rPr>
          <w:bCs/>
          <w:i/>
          <w:szCs w:val="22"/>
        </w:rPr>
        <w:t>Návrh vyhlášky o </w:t>
      </w:r>
      <w:r w:rsidR="00686675" w:rsidRPr="005A4F48">
        <w:rPr>
          <w:bCs/>
          <w:i/>
          <w:szCs w:val="22"/>
        </w:rPr>
        <w:t>způsobu výpočtu podlahové plochy pro účely daně z přidané hodnoty</w:t>
      </w:r>
      <w:r w:rsidR="00904CD1" w:rsidRPr="002D0796">
        <w:rPr>
          <w:bCs/>
          <w:i/>
          <w:szCs w:val="22"/>
        </w:rPr>
        <w:t>“</w:t>
      </w:r>
      <w:r w:rsidR="00325401" w:rsidRPr="002D0796">
        <w:rPr>
          <w:bCs/>
          <w:i/>
          <w:szCs w:val="22"/>
        </w:rPr>
        <w:t xml:space="preserve"> </w:t>
      </w:r>
      <w:r w:rsidR="00325401" w:rsidRPr="002D0796">
        <w:rPr>
          <w:bCs/>
          <w:szCs w:val="22"/>
        </w:rPr>
        <w:t xml:space="preserve">(dále jen „návrh </w:t>
      </w:r>
      <w:r w:rsidR="00777B14" w:rsidRPr="002D0796">
        <w:rPr>
          <w:bCs/>
          <w:szCs w:val="22"/>
        </w:rPr>
        <w:t>vyhlášky</w:t>
      </w:r>
      <w:r w:rsidR="00325401" w:rsidRPr="002D0796">
        <w:rPr>
          <w:bCs/>
          <w:szCs w:val="22"/>
        </w:rPr>
        <w:t>“)</w:t>
      </w:r>
      <w:r w:rsidR="00CD4E35" w:rsidRPr="002D0796">
        <w:rPr>
          <w:bCs/>
          <w:szCs w:val="22"/>
        </w:rPr>
        <w:t>.</w:t>
      </w:r>
    </w:p>
    <w:p w14:paraId="1436D7A2" w14:textId="787CE883" w:rsidR="00CE0C72" w:rsidRDefault="00CE0C72" w:rsidP="00686675">
      <w:pPr>
        <w:widowControl w:val="0"/>
        <w:spacing w:after="120"/>
        <w:jc w:val="both"/>
        <w:rPr>
          <w:bCs/>
        </w:rPr>
      </w:pPr>
      <w:r w:rsidRPr="00FA6AC1">
        <w:rPr>
          <w:bCs/>
        </w:rPr>
        <w:t xml:space="preserve">Návrh vyhlášky </w:t>
      </w:r>
      <w:r w:rsidR="007F386D">
        <w:rPr>
          <w:bCs/>
        </w:rPr>
        <w:t xml:space="preserve">se předkládá </w:t>
      </w:r>
      <w:bookmarkStart w:id="0" w:name="_Hlk183691375"/>
      <w:r w:rsidR="00EC3B4E">
        <w:rPr>
          <w:bCs/>
        </w:rPr>
        <w:t xml:space="preserve">na základě zmocnění stanoveného </w:t>
      </w:r>
      <w:r w:rsidR="00B54A30">
        <w:rPr>
          <w:bCs/>
        </w:rPr>
        <w:t>v § </w:t>
      </w:r>
      <w:r w:rsidR="007F386D">
        <w:rPr>
          <w:bCs/>
        </w:rPr>
        <w:t>48a odst</w:t>
      </w:r>
      <w:r w:rsidR="00EC3B4E">
        <w:rPr>
          <w:bCs/>
        </w:rPr>
        <w:t>. </w:t>
      </w:r>
      <w:r w:rsidR="007F386D">
        <w:rPr>
          <w:bCs/>
        </w:rPr>
        <w:t xml:space="preserve">6 </w:t>
      </w:r>
      <w:r w:rsidRPr="00E65CFD">
        <w:rPr>
          <w:bCs/>
        </w:rPr>
        <w:t xml:space="preserve">zákona </w:t>
      </w:r>
      <w:r w:rsidRPr="0033498E">
        <w:rPr>
          <w:szCs w:val="20"/>
        </w:rPr>
        <w:t>č.</w:t>
      </w:r>
      <w:r>
        <w:rPr>
          <w:szCs w:val="20"/>
        </w:rPr>
        <w:t> </w:t>
      </w:r>
      <w:r w:rsidR="007F386D">
        <w:rPr>
          <w:szCs w:val="20"/>
        </w:rPr>
        <w:t>235/2004</w:t>
      </w:r>
      <w:r>
        <w:rPr>
          <w:szCs w:val="20"/>
        </w:rPr>
        <w:t> </w:t>
      </w:r>
      <w:r w:rsidRPr="0033498E">
        <w:rPr>
          <w:szCs w:val="20"/>
        </w:rPr>
        <w:t>Sb., o</w:t>
      </w:r>
      <w:r>
        <w:rPr>
          <w:szCs w:val="20"/>
        </w:rPr>
        <w:t> </w:t>
      </w:r>
      <w:r w:rsidR="00E27C7A">
        <w:rPr>
          <w:szCs w:val="20"/>
        </w:rPr>
        <w:t>dani</w:t>
      </w:r>
      <w:r w:rsidRPr="0033498E">
        <w:rPr>
          <w:szCs w:val="20"/>
        </w:rPr>
        <w:t xml:space="preserve"> z</w:t>
      </w:r>
      <w:r w:rsidR="007F386D">
        <w:rPr>
          <w:szCs w:val="20"/>
        </w:rPr>
        <w:t> přidané hodnoty</w:t>
      </w:r>
      <w:r w:rsidRPr="00E65CFD">
        <w:rPr>
          <w:bCs/>
        </w:rPr>
        <w:t xml:space="preserve">, ve znění </w:t>
      </w:r>
      <w:r w:rsidRPr="001664FC">
        <w:rPr>
          <w:bCs/>
        </w:rPr>
        <w:t xml:space="preserve">pozdějších předpisů </w:t>
      </w:r>
      <w:r>
        <w:rPr>
          <w:bCs/>
        </w:rPr>
        <w:t>(dále jen „</w:t>
      </w:r>
      <w:r w:rsidRPr="00E65CFD">
        <w:rPr>
          <w:bCs/>
        </w:rPr>
        <w:t>zákon o</w:t>
      </w:r>
      <w:r>
        <w:rPr>
          <w:bCs/>
        </w:rPr>
        <w:t> </w:t>
      </w:r>
      <w:r w:rsidR="000039D1">
        <w:rPr>
          <w:szCs w:val="20"/>
        </w:rPr>
        <w:t>dani z přidané hodnoty</w:t>
      </w:r>
      <w:r>
        <w:rPr>
          <w:bCs/>
        </w:rPr>
        <w:t xml:space="preserve">“), </w:t>
      </w:r>
      <w:bookmarkEnd w:id="0"/>
      <w:r w:rsidR="00EC3B4E">
        <w:rPr>
          <w:bCs/>
        </w:rPr>
        <w:t xml:space="preserve">který </w:t>
      </w:r>
      <w:r w:rsidR="007F386D">
        <w:rPr>
          <w:bCs/>
        </w:rPr>
        <w:t xml:space="preserve">byl novelizován v rámci tzv. technické novely zákona </w:t>
      </w:r>
      <w:r w:rsidR="0089203B">
        <w:rPr>
          <w:bCs/>
        </w:rPr>
        <w:t>o dani z přidané hodnoty</w:t>
      </w:r>
      <w:r w:rsidR="007F386D">
        <w:rPr>
          <w:bCs/>
        </w:rPr>
        <w:t xml:space="preserve"> publikované jako zákon č. 461/2024 Sb. a </w:t>
      </w:r>
      <w:r w:rsidR="00EC3B4E">
        <w:rPr>
          <w:bCs/>
        </w:rPr>
        <w:t xml:space="preserve">který </w:t>
      </w:r>
      <w:r w:rsidR="007F386D">
        <w:rPr>
          <w:bCs/>
        </w:rPr>
        <w:t>nabud</w:t>
      </w:r>
      <w:r w:rsidR="00276E5D">
        <w:rPr>
          <w:bCs/>
        </w:rPr>
        <w:t>e</w:t>
      </w:r>
      <w:r w:rsidR="007F386D">
        <w:rPr>
          <w:bCs/>
        </w:rPr>
        <w:t xml:space="preserve"> účinnosti k 1.</w:t>
      </w:r>
      <w:r w:rsidR="0089203B">
        <w:rPr>
          <w:bCs/>
        </w:rPr>
        <w:t> </w:t>
      </w:r>
      <w:r w:rsidR="007F386D">
        <w:rPr>
          <w:bCs/>
        </w:rPr>
        <w:t>červenci 2025.</w:t>
      </w:r>
      <w:r w:rsidR="00276E5D">
        <w:rPr>
          <w:bCs/>
        </w:rPr>
        <w:t xml:space="preserve"> </w:t>
      </w:r>
    </w:p>
    <w:p w14:paraId="64B3D43B" w14:textId="12C799A3" w:rsidR="00D57CEC" w:rsidRDefault="00276E5D" w:rsidP="00686675">
      <w:pPr>
        <w:widowControl w:val="0"/>
        <w:spacing w:after="120"/>
        <w:jc w:val="both"/>
        <w:rPr>
          <w:bCs/>
        </w:rPr>
      </w:pPr>
      <w:r w:rsidRPr="00B67A50">
        <w:t xml:space="preserve">Stanovení výpočtu podlahové plochy </w:t>
      </w:r>
      <w:r>
        <w:t xml:space="preserve">v oblasti DPH </w:t>
      </w:r>
      <w:r w:rsidRPr="00B67A50">
        <w:t xml:space="preserve">je nezbytné pro vymezení stavby pro sociální bydlení podle § 48a zákona </w:t>
      </w:r>
      <w:r w:rsidR="000039D1" w:rsidRPr="00E65CFD">
        <w:rPr>
          <w:bCs/>
        </w:rPr>
        <w:t>o</w:t>
      </w:r>
      <w:r w:rsidR="000039D1">
        <w:rPr>
          <w:bCs/>
        </w:rPr>
        <w:t> </w:t>
      </w:r>
      <w:r w:rsidR="000039D1">
        <w:rPr>
          <w:szCs w:val="20"/>
        </w:rPr>
        <w:t>dani z přidané hodnoty</w:t>
      </w:r>
      <w:r>
        <w:t xml:space="preserve"> a pro stanovení podlahové plochy části stavby pro určení, jakou výši sazby DPH aplikovat</w:t>
      </w:r>
      <w:r w:rsidR="00A324CE">
        <w:t>, resp. pro stanovení základu daně</w:t>
      </w:r>
      <w:r>
        <w:t xml:space="preserve"> (</w:t>
      </w:r>
      <w:r w:rsidR="00B54A30">
        <w:t>viz § </w:t>
      </w:r>
      <w:r>
        <w:t>49 odst. 5</w:t>
      </w:r>
      <w:r w:rsidRPr="008D439F">
        <w:t xml:space="preserve"> </w:t>
      </w:r>
      <w:r>
        <w:t>zák</w:t>
      </w:r>
      <w:r w:rsidR="00D57CEC">
        <w:t xml:space="preserve">ona </w:t>
      </w:r>
      <w:r w:rsidR="000039D1" w:rsidRPr="00E65CFD">
        <w:rPr>
          <w:bCs/>
        </w:rPr>
        <w:t>o</w:t>
      </w:r>
      <w:r w:rsidR="000039D1">
        <w:rPr>
          <w:bCs/>
        </w:rPr>
        <w:t> </w:t>
      </w:r>
      <w:r w:rsidR="000039D1">
        <w:rPr>
          <w:szCs w:val="20"/>
        </w:rPr>
        <w:t>dani z přidané hodnoty</w:t>
      </w:r>
      <w:r>
        <w:t xml:space="preserve">), </w:t>
      </w:r>
      <w:r w:rsidR="00A324CE">
        <w:t>a</w:t>
      </w:r>
      <w:r>
        <w:t xml:space="preserve"> pro možnost aplikace zdanění nájmu nemovité věci (viz § 56a odst. 5 písm. d) zákona </w:t>
      </w:r>
      <w:r w:rsidR="000039D1" w:rsidRPr="00E65CFD">
        <w:rPr>
          <w:bCs/>
        </w:rPr>
        <w:t>o</w:t>
      </w:r>
      <w:r w:rsidR="000039D1">
        <w:rPr>
          <w:bCs/>
        </w:rPr>
        <w:t> </w:t>
      </w:r>
      <w:r w:rsidR="000039D1">
        <w:rPr>
          <w:szCs w:val="20"/>
        </w:rPr>
        <w:t>dani z přidané hodnoty</w:t>
      </w:r>
      <w:r>
        <w:t>)</w:t>
      </w:r>
      <w:r w:rsidRPr="00B67A50">
        <w:t>.</w:t>
      </w:r>
      <w:r w:rsidR="00D57CEC">
        <w:t xml:space="preserve"> </w:t>
      </w:r>
      <w:r w:rsidRPr="00EC3B4E">
        <w:rPr>
          <w:bCs/>
        </w:rPr>
        <w:t xml:space="preserve">V současné době je výpočet podlahové plochy předmětem </w:t>
      </w:r>
      <w:r w:rsidRPr="004A7215">
        <w:rPr>
          <w:bCs/>
          <w:i/>
          <w:iCs/>
        </w:rPr>
        <w:t>Informace G</w:t>
      </w:r>
      <w:r w:rsidR="00913F2C" w:rsidRPr="004A7215">
        <w:rPr>
          <w:bCs/>
          <w:i/>
          <w:iCs/>
        </w:rPr>
        <w:t>FŘ k uplatňování zákona o DPH u </w:t>
      </w:r>
      <w:r w:rsidRPr="004A7215">
        <w:rPr>
          <w:bCs/>
          <w:i/>
          <w:iCs/>
        </w:rPr>
        <w:t>nemovitých věcí po 1. 1. 2016</w:t>
      </w:r>
      <w:r w:rsidRPr="00EC3B4E">
        <w:rPr>
          <w:bCs/>
        </w:rPr>
        <w:t xml:space="preserve">. Předmětnou vyhláškou se pravidla této </w:t>
      </w:r>
      <w:r w:rsidR="004A7215">
        <w:rPr>
          <w:bCs/>
        </w:rPr>
        <w:t>i</w:t>
      </w:r>
      <w:r w:rsidR="00EC3B4E" w:rsidRPr="00EC3B4E">
        <w:rPr>
          <w:bCs/>
        </w:rPr>
        <w:t xml:space="preserve">nformace </w:t>
      </w:r>
      <w:r w:rsidR="00EC3B4E">
        <w:rPr>
          <w:bCs/>
        </w:rPr>
        <w:t xml:space="preserve">přebírají do právního předpisu, a to </w:t>
      </w:r>
      <w:r w:rsidRPr="00EC3B4E">
        <w:rPr>
          <w:bCs/>
        </w:rPr>
        <w:t>při respektování dalšího cíle</w:t>
      </w:r>
      <w:r w:rsidR="00D57CEC">
        <w:rPr>
          <w:bCs/>
        </w:rPr>
        <w:t xml:space="preserve"> této vyhlášky</w:t>
      </w:r>
      <w:r w:rsidRPr="00EC3B4E">
        <w:rPr>
          <w:bCs/>
        </w:rPr>
        <w:t>, a to sjednocení rozdílného počítání podlahové plochy</w:t>
      </w:r>
      <w:r w:rsidR="00A324CE">
        <w:rPr>
          <w:bCs/>
        </w:rPr>
        <w:t xml:space="preserve"> tam, kde </w:t>
      </w:r>
      <w:r w:rsidRPr="00EC3B4E">
        <w:rPr>
          <w:bCs/>
        </w:rPr>
        <w:t xml:space="preserve">tento rozdíl </w:t>
      </w:r>
      <w:r w:rsidR="00EC3B4E" w:rsidRPr="00EC3B4E">
        <w:rPr>
          <w:bCs/>
        </w:rPr>
        <w:t xml:space="preserve">není </w:t>
      </w:r>
      <w:r w:rsidR="00A324CE">
        <w:rPr>
          <w:bCs/>
        </w:rPr>
        <w:t>důvodný</w:t>
      </w:r>
      <w:r w:rsidRPr="00EC3B4E">
        <w:rPr>
          <w:bCs/>
        </w:rPr>
        <w:t>, resp. neodpovídá z titulu poměřování podlahových ploch jednotlivých staveb pro bydlení nebo pro sociální bydlení.</w:t>
      </w:r>
    </w:p>
    <w:p w14:paraId="3142645A" w14:textId="1EB17D2C" w:rsidR="001E7B62" w:rsidRDefault="001E7B62" w:rsidP="001E7B62">
      <w:pPr>
        <w:spacing w:after="120"/>
        <w:jc w:val="both"/>
      </w:pPr>
      <w:r w:rsidRPr="004C6747">
        <w:t xml:space="preserve">Účinnost návrhu vyhlášky se </w:t>
      </w:r>
      <w:r w:rsidR="00686675">
        <w:t>navrhuje k 1. červenci</w:t>
      </w:r>
      <w:r w:rsidRPr="00B8562A">
        <w:t xml:space="preserve"> 2025</w:t>
      </w:r>
      <w:r w:rsidR="00686675">
        <w:t xml:space="preserve"> tak, aby nabyla účinnosti ve stejný okamžik, jako ustanovení zákona o </w:t>
      </w:r>
      <w:r w:rsidR="0089203B">
        <w:t>dani z přidané hodnoty</w:t>
      </w:r>
      <w:r w:rsidR="00686675">
        <w:t>, která provádí</w:t>
      </w:r>
      <w:r w:rsidRPr="004C6747">
        <w:t>.</w:t>
      </w:r>
    </w:p>
    <w:sectPr w:rsidR="001E7B62" w:rsidSect="002A149D">
      <w:headerReference w:type="default" r:id="rId10"/>
      <w:headerReference w:type="first" r:id="rId11"/>
      <w:pgSz w:w="11906" w:h="16838"/>
      <w:pgMar w:top="1417" w:right="1417" w:bottom="1417" w:left="1417" w:header="720" w:footer="720" w:gutter="0"/>
      <w:pgNumType w:fmt="numberInDash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8A2A5" w14:textId="77777777" w:rsidR="00393BA0" w:rsidRDefault="00393BA0">
      <w:r>
        <w:separator/>
      </w:r>
    </w:p>
  </w:endnote>
  <w:endnote w:type="continuationSeparator" w:id="0">
    <w:p w14:paraId="6F4151F2" w14:textId="77777777" w:rsidR="00393BA0" w:rsidRDefault="00393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95165" w14:textId="77777777" w:rsidR="00393BA0" w:rsidRDefault="00393BA0">
      <w:r>
        <w:separator/>
      </w:r>
    </w:p>
  </w:footnote>
  <w:footnote w:type="continuationSeparator" w:id="0">
    <w:p w14:paraId="28D93098" w14:textId="77777777" w:rsidR="00393BA0" w:rsidRDefault="00393B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571006"/>
      <w:docPartObj>
        <w:docPartGallery w:val="Page Numbers (Top of Page)"/>
        <w:docPartUnique/>
      </w:docPartObj>
    </w:sdtPr>
    <w:sdtEndPr/>
    <w:sdtContent>
      <w:p w14:paraId="515A879A" w14:textId="4B8C8009" w:rsidR="002A149D" w:rsidRDefault="002A149D">
        <w:pPr>
          <w:pStyle w:val="Zhlav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B62">
          <w:rPr>
            <w:noProof/>
          </w:rPr>
          <w:t>- 2 -</w:t>
        </w:r>
        <w:r>
          <w:fldChar w:fldCharType="end"/>
        </w:r>
      </w:p>
    </w:sdtContent>
  </w:sdt>
  <w:p w14:paraId="6DA29198" w14:textId="77777777" w:rsidR="002A149D" w:rsidRDefault="002A149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DEA64" w14:textId="14AEE034" w:rsidR="00442D4D" w:rsidRPr="00442D4D" w:rsidRDefault="003851AE" w:rsidP="00442D4D">
    <w:pPr>
      <w:pStyle w:val="Zhlav"/>
      <w:jc w:val="right"/>
      <w:rPr>
        <w:b/>
      </w:rPr>
    </w:pPr>
    <w:r>
      <w:rPr>
        <w:b/>
      </w:rPr>
      <w:t>I</w:t>
    </w:r>
    <w:r w:rsidR="006868AC" w:rsidRPr="00442D4D">
      <w:rPr>
        <w:b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F780E"/>
    <w:multiLevelType w:val="hybridMultilevel"/>
    <w:tmpl w:val="12E4F1C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45BD4"/>
    <w:multiLevelType w:val="hybridMultilevel"/>
    <w:tmpl w:val="31ECB15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72FF8"/>
    <w:multiLevelType w:val="hybridMultilevel"/>
    <w:tmpl w:val="E28813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44965"/>
    <w:multiLevelType w:val="hybridMultilevel"/>
    <w:tmpl w:val="CD34F65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0775A"/>
    <w:multiLevelType w:val="hybridMultilevel"/>
    <w:tmpl w:val="0A7207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4D3AC1"/>
    <w:multiLevelType w:val="hybridMultilevel"/>
    <w:tmpl w:val="A014C8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92E1E"/>
    <w:multiLevelType w:val="hybridMultilevel"/>
    <w:tmpl w:val="D07A547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233BF8"/>
    <w:multiLevelType w:val="hybridMultilevel"/>
    <w:tmpl w:val="58BEDD64"/>
    <w:lvl w:ilvl="0" w:tplc="55CE574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E54E8B"/>
    <w:multiLevelType w:val="hybridMultilevel"/>
    <w:tmpl w:val="EF8A37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F70B19"/>
    <w:multiLevelType w:val="hybridMultilevel"/>
    <w:tmpl w:val="2D7423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95640C"/>
    <w:multiLevelType w:val="hybridMultilevel"/>
    <w:tmpl w:val="FE72FCA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1202CD"/>
    <w:multiLevelType w:val="hybridMultilevel"/>
    <w:tmpl w:val="6CBAA2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0"/>
  </w:num>
  <w:num w:numId="5">
    <w:abstractNumId w:val="7"/>
  </w:num>
  <w:num w:numId="6">
    <w:abstractNumId w:val="10"/>
  </w:num>
  <w:num w:numId="7">
    <w:abstractNumId w:val="9"/>
  </w:num>
  <w:num w:numId="8">
    <w:abstractNumId w:val="3"/>
  </w:num>
  <w:num w:numId="9">
    <w:abstractNumId w:val="4"/>
  </w:num>
  <w:num w:numId="10">
    <w:abstractNumId w:val="6"/>
  </w:num>
  <w:num w:numId="11">
    <w:abstractNumId w:val="5"/>
  </w:num>
  <w:num w:numId="12">
    <w:abstractNumId w:val="1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4F9"/>
    <w:rsid w:val="000039D1"/>
    <w:rsid w:val="00035893"/>
    <w:rsid w:val="00035DD4"/>
    <w:rsid w:val="000360DE"/>
    <w:rsid w:val="00037DBD"/>
    <w:rsid w:val="00083F86"/>
    <w:rsid w:val="00084D03"/>
    <w:rsid w:val="00091482"/>
    <w:rsid w:val="000B6A79"/>
    <w:rsid w:val="000C3CB2"/>
    <w:rsid w:val="000C67C3"/>
    <w:rsid w:val="000E5DF8"/>
    <w:rsid w:val="000F2502"/>
    <w:rsid w:val="000F4792"/>
    <w:rsid w:val="00112E25"/>
    <w:rsid w:val="0011543D"/>
    <w:rsid w:val="00115B97"/>
    <w:rsid w:val="00131AA7"/>
    <w:rsid w:val="00133E61"/>
    <w:rsid w:val="00137051"/>
    <w:rsid w:val="00142376"/>
    <w:rsid w:val="00143BBB"/>
    <w:rsid w:val="00143D09"/>
    <w:rsid w:val="0015261E"/>
    <w:rsid w:val="00152765"/>
    <w:rsid w:val="00156329"/>
    <w:rsid w:val="00175927"/>
    <w:rsid w:val="00177DDE"/>
    <w:rsid w:val="00187BA3"/>
    <w:rsid w:val="00195394"/>
    <w:rsid w:val="001B052E"/>
    <w:rsid w:val="001E20B3"/>
    <w:rsid w:val="001E7B62"/>
    <w:rsid w:val="001F75CA"/>
    <w:rsid w:val="002066F3"/>
    <w:rsid w:val="002133BE"/>
    <w:rsid w:val="00221E54"/>
    <w:rsid w:val="002222F0"/>
    <w:rsid w:val="0023676A"/>
    <w:rsid w:val="0024196F"/>
    <w:rsid w:val="00245E2C"/>
    <w:rsid w:val="0025446E"/>
    <w:rsid w:val="00263C53"/>
    <w:rsid w:val="00264A11"/>
    <w:rsid w:val="00270D5B"/>
    <w:rsid w:val="00272402"/>
    <w:rsid w:val="00276E5D"/>
    <w:rsid w:val="002844E2"/>
    <w:rsid w:val="002A149D"/>
    <w:rsid w:val="002C3270"/>
    <w:rsid w:val="002C3B8D"/>
    <w:rsid w:val="002C56AF"/>
    <w:rsid w:val="002D0796"/>
    <w:rsid w:val="002D1EA5"/>
    <w:rsid w:val="0030155A"/>
    <w:rsid w:val="00307777"/>
    <w:rsid w:val="003120BF"/>
    <w:rsid w:val="00313396"/>
    <w:rsid w:val="00322CC9"/>
    <w:rsid w:val="00325401"/>
    <w:rsid w:val="0033136B"/>
    <w:rsid w:val="003317AC"/>
    <w:rsid w:val="00335D05"/>
    <w:rsid w:val="0036429D"/>
    <w:rsid w:val="0037108C"/>
    <w:rsid w:val="003712C3"/>
    <w:rsid w:val="003851AE"/>
    <w:rsid w:val="00390364"/>
    <w:rsid w:val="00391940"/>
    <w:rsid w:val="00393BA0"/>
    <w:rsid w:val="00395B86"/>
    <w:rsid w:val="003A6AC5"/>
    <w:rsid w:val="003A6E90"/>
    <w:rsid w:val="003B40CA"/>
    <w:rsid w:val="003E11CF"/>
    <w:rsid w:val="003E780C"/>
    <w:rsid w:val="0040214B"/>
    <w:rsid w:val="004115D1"/>
    <w:rsid w:val="00435CFA"/>
    <w:rsid w:val="00446441"/>
    <w:rsid w:val="00454E53"/>
    <w:rsid w:val="0046081D"/>
    <w:rsid w:val="0046123F"/>
    <w:rsid w:val="0046136A"/>
    <w:rsid w:val="00472962"/>
    <w:rsid w:val="00492152"/>
    <w:rsid w:val="004A2234"/>
    <w:rsid w:val="004A7215"/>
    <w:rsid w:val="004B2318"/>
    <w:rsid w:val="004B2BA9"/>
    <w:rsid w:val="004D48F4"/>
    <w:rsid w:val="004D7219"/>
    <w:rsid w:val="004E195D"/>
    <w:rsid w:val="00504080"/>
    <w:rsid w:val="00520470"/>
    <w:rsid w:val="00532FCC"/>
    <w:rsid w:val="0055245D"/>
    <w:rsid w:val="00591576"/>
    <w:rsid w:val="005A4F48"/>
    <w:rsid w:val="005B101A"/>
    <w:rsid w:val="005B24D2"/>
    <w:rsid w:val="005B5FC2"/>
    <w:rsid w:val="005C6EFB"/>
    <w:rsid w:val="005D7B7B"/>
    <w:rsid w:val="0060641F"/>
    <w:rsid w:val="0061474E"/>
    <w:rsid w:val="00620D09"/>
    <w:rsid w:val="006237AA"/>
    <w:rsid w:val="0062785C"/>
    <w:rsid w:val="00644D87"/>
    <w:rsid w:val="00661D48"/>
    <w:rsid w:val="00663C9F"/>
    <w:rsid w:val="00665F91"/>
    <w:rsid w:val="00676919"/>
    <w:rsid w:val="00686675"/>
    <w:rsid w:val="006868AC"/>
    <w:rsid w:val="00691D7B"/>
    <w:rsid w:val="00696F8B"/>
    <w:rsid w:val="006A26E3"/>
    <w:rsid w:val="006B5D4A"/>
    <w:rsid w:val="006E121E"/>
    <w:rsid w:val="00703A8D"/>
    <w:rsid w:val="00705607"/>
    <w:rsid w:val="00705A80"/>
    <w:rsid w:val="00710A68"/>
    <w:rsid w:val="00710C81"/>
    <w:rsid w:val="0071263B"/>
    <w:rsid w:val="00734707"/>
    <w:rsid w:val="00737E4D"/>
    <w:rsid w:val="00744D85"/>
    <w:rsid w:val="00751C72"/>
    <w:rsid w:val="00757634"/>
    <w:rsid w:val="0076261A"/>
    <w:rsid w:val="00773AFB"/>
    <w:rsid w:val="00777B14"/>
    <w:rsid w:val="00785222"/>
    <w:rsid w:val="00794F91"/>
    <w:rsid w:val="007B627F"/>
    <w:rsid w:val="007B67A7"/>
    <w:rsid w:val="007D34FE"/>
    <w:rsid w:val="007D5FDA"/>
    <w:rsid w:val="007F2821"/>
    <w:rsid w:val="007F386D"/>
    <w:rsid w:val="008113E2"/>
    <w:rsid w:val="00845D0D"/>
    <w:rsid w:val="00851CB2"/>
    <w:rsid w:val="008838F3"/>
    <w:rsid w:val="00885049"/>
    <w:rsid w:val="0089203B"/>
    <w:rsid w:val="008962A3"/>
    <w:rsid w:val="008A7906"/>
    <w:rsid w:val="008C3484"/>
    <w:rsid w:val="008D4AB2"/>
    <w:rsid w:val="008D5A5D"/>
    <w:rsid w:val="008E6C21"/>
    <w:rsid w:val="00904CD1"/>
    <w:rsid w:val="00913D54"/>
    <w:rsid w:val="00913F2C"/>
    <w:rsid w:val="00916092"/>
    <w:rsid w:val="00921866"/>
    <w:rsid w:val="00923B1D"/>
    <w:rsid w:val="009425EB"/>
    <w:rsid w:val="0095128B"/>
    <w:rsid w:val="00957D32"/>
    <w:rsid w:val="00970587"/>
    <w:rsid w:val="009824B0"/>
    <w:rsid w:val="009B17DF"/>
    <w:rsid w:val="009C0ACF"/>
    <w:rsid w:val="009D1A23"/>
    <w:rsid w:val="009D62A7"/>
    <w:rsid w:val="00A00111"/>
    <w:rsid w:val="00A02DFA"/>
    <w:rsid w:val="00A101FD"/>
    <w:rsid w:val="00A26A59"/>
    <w:rsid w:val="00A324CE"/>
    <w:rsid w:val="00A340E0"/>
    <w:rsid w:val="00A47B81"/>
    <w:rsid w:val="00A80D53"/>
    <w:rsid w:val="00A8572E"/>
    <w:rsid w:val="00AA0692"/>
    <w:rsid w:val="00AA177F"/>
    <w:rsid w:val="00AA263B"/>
    <w:rsid w:val="00AC028F"/>
    <w:rsid w:val="00AC1365"/>
    <w:rsid w:val="00AC31BB"/>
    <w:rsid w:val="00AD094B"/>
    <w:rsid w:val="00AE1BD0"/>
    <w:rsid w:val="00B11555"/>
    <w:rsid w:val="00B11D8F"/>
    <w:rsid w:val="00B131A4"/>
    <w:rsid w:val="00B22EA9"/>
    <w:rsid w:val="00B44DD8"/>
    <w:rsid w:val="00B54A30"/>
    <w:rsid w:val="00B5688D"/>
    <w:rsid w:val="00B83C8E"/>
    <w:rsid w:val="00B83CBF"/>
    <w:rsid w:val="00B8562A"/>
    <w:rsid w:val="00B872CE"/>
    <w:rsid w:val="00B958E9"/>
    <w:rsid w:val="00BA03EF"/>
    <w:rsid w:val="00BA3541"/>
    <w:rsid w:val="00BA65A5"/>
    <w:rsid w:val="00BB1A33"/>
    <w:rsid w:val="00BC1FD8"/>
    <w:rsid w:val="00BD212E"/>
    <w:rsid w:val="00BD662A"/>
    <w:rsid w:val="00BE7F84"/>
    <w:rsid w:val="00C047C6"/>
    <w:rsid w:val="00C06F2E"/>
    <w:rsid w:val="00C07EDB"/>
    <w:rsid w:val="00C13CE7"/>
    <w:rsid w:val="00C2135F"/>
    <w:rsid w:val="00C22E12"/>
    <w:rsid w:val="00C366F8"/>
    <w:rsid w:val="00C4693D"/>
    <w:rsid w:val="00C476AB"/>
    <w:rsid w:val="00C5676C"/>
    <w:rsid w:val="00C65B01"/>
    <w:rsid w:val="00C753BA"/>
    <w:rsid w:val="00C97ED3"/>
    <w:rsid w:val="00CB0C87"/>
    <w:rsid w:val="00CB703C"/>
    <w:rsid w:val="00CC7419"/>
    <w:rsid w:val="00CD4E35"/>
    <w:rsid w:val="00CD5BC9"/>
    <w:rsid w:val="00CE0C72"/>
    <w:rsid w:val="00CE21EB"/>
    <w:rsid w:val="00CE3D9B"/>
    <w:rsid w:val="00D004BA"/>
    <w:rsid w:val="00D02D49"/>
    <w:rsid w:val="00D0720B"/>
    <w:rsid w:val="00D14268"/>
    <w:rsid w:val="00D30087"/>
    <w:rsid w:val="00D542AF"/>
    <w:rsid w:val="00D57CEC"/>
    <w:rsid w:val="00D67217"/>
    <w:rsid w:val="00D8295C"/>
    <w:rsid w:val="00D97523"/>
    <w:rsid w:val="00DA1FEA"/>
    <w:rsid w:val="00DA4DE8"/>
    <w:rsid w:val="00DA6E13"/>
    <w:rsid w:val="00DC7C12"/>
    <w:rsid w:val="00DF48CC"/>
    <w:rsid w:val="00DF6E55"/>
    <w:rsid w:val="00E07B94"/>
    <w:rsid w:val="00E102BD"/>
    <w:rsid w:val="00E1598D"/>
    <w:rsid w:val="00E21C0E"/>
    <w:rsid w:val="00E225CF"/>
    <w:rsid w:val="00E23F8C"/>
    <w:rsid w:val="00E2416E"/>
    <w:rsid w:val="00E27C7A"/>
    <w:rsid w:val="00E331EB"/>
    <w:rsid w:val="00E36207"/>
    <w:rsid w:val="00E45017"/>
    <w:rsid w:val="00E60D18"/>
    <w:rsid w:val="00E64446"/>
    <w:rsid w:val="00E71222"/>
    <w:rsid w:val="00E73AFD"/>
    <w:rsid w:val="00E91263"/>
    <w:rsid w:val="00EA4055"/>
    <w:rsid w:val="00EB3C8C"/>
    <w:rsid w:val="00EC27DB"/>
    <w:rsid w:val="00EC3B4E"/>
    <w:rsid w:val="00EC71DF"/>
    <w:rsid w:val="00EE2220"/>
    <w:rsid w:val="00EE4CC3"/>
    <w:rsid w:val="00F07FC9"/>
    <w:rsid w:val="00F173BD"/>
    <w:rsid w:val="00F3132E"/>
    <w:rsid w:val="00F41B6F"/>
    <w:rsid w:val="00F54534"/>
    <w:rsid w:val="00F624F0"/>
    <w:rsid w:val="00F672D6"/>
    <w:rsid w:val="00F673F0"/>
    <w:rsid w:val="00F875F9"/>
    <w:rsid w:val="00F913E2"/>
    <w:rsid w:val="00FA486F"/>
    <w:rsid w:val="00FB597A"/>
    <w:rsid w:val="00FB7850"/>
    <w:rsid w:val="00FC0058"/>
    <w:rsid w:val="00FC1633"/>
    <w:rsid w:val="00FD7616"/>
    <w:rsid w:val="00FE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B27E8"/>
  <w15:docId w15:val="{F385ED97-84FE-415C-B1B6-7215B6E08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769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94F9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7691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7691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76919"/>
    <w:pPr>
      <w:spacing w:after="60"/>
      <w:jc w:val="center"/>
      <w:outlineLvl w:val="1"/>
    </w:pPr>
    <w:rPr>
      <w:rFonts w:ascii="Cambria" w:hAnsi="Cambria"/>
    </w:rPr>
  </w:style>
  <w:style w:type="character" w:customStyle="1" w:styleId="PodnadpisChar">
    <w:name w:val="Podnadpis Char"/>
    <w:basedOn w:val="Standardnpsmoodstavce"/>
    <w:link w:val="Podnadpis"/>
    <w:uiPriority w:val="11"/>
    <w:rsid w:val="00676919"/>
    <w:rPr>
      <w:rFonts w:ascii="Cambria" w:eastAsia="Times New Roman" w:hAnsi="Cambria" w:cs="Times New Roman"/>
      <w:sz w:val="24"/>
      <w:szCs w:val="24"/>
      <w:lang w:eastAsia="cs-CZ"/>
    </w:rPr>
  </w:style>
  <w:style w:type="paragraph" w:customStyle="1" w:styleId="Popisky">
    <w:name w:val="Popisky"/>
    <w:uiPriority w:val="99"/>
    <w:rsid w:val="00C65B0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903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90364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435CF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35CF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35CF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35CF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35CF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94F9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94F9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94F9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AC31BB"/>
    <w:pPr>
      <w:ind w:left="720"/>
      <w:contextualSpacing/>
    </w:pPr>
  </w:style>
  <w:style w:type="paragraph" w:styleId="Zkladntext">
    <w:name w:val="Body Text"/>
    <w:basedOn w:val="Normln"/>
    <w:link w:val="ZkladntextChar"/>
    <w:rsid w:val="00691D7B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ZkladntextChar">
    <w:name w:val="Základní text Char"/>
    <w:basedOn w:val="Standardnpsmoodstavce"/>
    <w:link w:val="Zkladntext"/>
    <w:rsid w:val="00691D7B"/>
    <w:rPr>
      <w:rFonts w:ascii="Times New Roman" w:eastAsia="Times New Roman" w:hAnsi="Times New Roman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E80BD2CC09D9458CD1707A4C1E9E71" ma:contentTypeVersion="10" ma:contentTypeDescription="Vytvoří nový dokument" ma:contentTypeScope="" ma:versionID="0093d3669437f94f2be08043b7a8a015">
  <xsd:schema xmlns:xsd="http://www.w3.org/2001/XMLSchema" xmlns:xs="http://www.w3.org/2001/XMLSchema" xmlns:p="http://schemas.microsoft.com/office/2006/metadata/properties" xmlns:ns2="d83aee56-ffaf-459a-b196-6a8dfb455ef7" xmlns:ns3="1d457c51-b797-4182-928a-400bf6487635" targetNamespace="http://schemas.microsoft.com/office/2006/metadata/properties" ma:root="true" ma:fieldsID="f78ab5373fa01bddeb10bfd50483461c" ns2:_="" ns3:_="">
    <xsd:import namespace="d83aee56-ffaf-459a-b196-6a8dfb455ef7"/>
    <xsd:import namespace="1d457c51-b797-4182-928a-400bf6487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3aee56-ffaf-459a-b196-6a8dfb455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57c51-b797-4182-928a-400bf6487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112DFF-4AE0-4C46-9DF3-3E989CA2547E}">
  <ds:schemaRefs>
    <ds:schemaRef ds:uri="http://schemas.microsoft.com/office/2006/documentManagement/types"/>
    <ds:schemaRef ds:uri="d83aee56-ffaf-459a-b196-6a8dfb455ef7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1d457c51-b797-4182-928a-400bf648763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352DFF8-4395-40F2-AB48-A8F630D177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3aee56-ffaf-459a-b196-6a8dfb455ef7"/>
    <ds:schemaRef ds:uri="1d457c51-b797-4182-928a-400bf64876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9DF13E-2637-4EF9-B785-3D262EACD0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232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Janáčková Kateřina Ing. Mgr.</dc:creator>
  <cp:lastModifiedBy>Stibůrková Jana Mgr.</cp:lastModifiedBy>
  <cp:revision>7</cp:revision>
  <cp:lastPrinted>2019-03-07T13:14:00Z</cp:lastPrinted>
  <dcterms:created xsi:type="dcterms:W3CDTF">2025-03-24T09:26:00Z</dcterms:created>
  <dcterms:modified xsi:type="dcterms:W3CDTF">2025-03-25T13:34:00Z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0x01010081E80BD2CC09D9458CD1707A4C1E9E71</vt:lpwstr>
  </property>
</Properties>
</file>