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8E26B" w14:textId="77777777" w:rsidR="003E1C4C" w:rsidRPr="00285083" w:rsidRDefault="003E1C4C" w:rsidP="003E1C4C">
      <w:pPr>
        <w:pStyle w:val="Nvrh"/>
        <w:spacing w:after="120"/>
      </w:pPr>
      <w:r w:rsidRPr="00285083">
        <w:t>Návrh</w:t>
      </w:r>
    </w:p>
    <w:p w14:paraId="71330639" w14:textId="77777777" w:rsidR="003E1C4C" w:rsidRPr="00285083" w:rsidRDefault="003E1C4C" w:rsidP="003E1C4C">
      <w:pPr>
        <w:pStyle w:val="VYHLKA"/>
      </w:pPr>
      <w:r w:rsidRPr="00285083">
        <w:t>VYHLÁŠKA</w:t>
      </w:r>
    </w:p>
    <w:p w14:paraId="4D82B35D" w14:textId="77777777" w:rsidR="003E1C4C" w:rsidRPr="00285083" w:rsidRDefault="003E1C4C" w:rsidP="003E1C4C">
      <w:pPr>
        <w:pStyle w:val="nadpiszkona"/>
        <w:outlineLvl w:val="9"/>
        <w:rPr>
          <w:b w:val="0"/>
        </w:rPr>
      </w:pPr>
      <w:r w:rsidRPr="00285083">
        <w:rPr>
          <w:b w:val="0"/>
        </w:rPr>
        <w:t>ze dne ... 20</w:t>
      </w:r>
      <w:r>
        <w:rPr>
          <w:b w:val="0"/>
        </w:rPr>
        <w:t>25</w:t>
      </w:r>
    </w:p>
    <w:p w14:paraId="2A27DDF7" w14:textId="77777777" w:rsidR="003E1C4C" w:rsidRPr="00F50807" w:rsidRDefault="003E1C4C" w:rsidP="003E1C4C">
      <w:pPr>
        <w:pStyle w:val="nadpiszkona"/>
        <w:outlineLvl w:val="9"/>
      </w:pPr>
      <w:r>
        <w:t>o z</w:t>
      </w:r>
      <w:r w:rsidRPr="00CB3B79">
        <w:t>působ</w:t>
      </w:r>
      <w:r>
        <w:t>u</w:t>
      </w:r>
      <w:r w:rsidRPr="00CB3B79">
        <w:t xml:space="preserve"> výpočtu podlahové plochy pro účely daně z přidané hodnoty</w:t>
      </w:r>
    </w:p>
    <w:p w14:paraId="567B04C7" w14:textId="77777777" w:rsidR="003E1C4C" w:rsidRPr="00285083" w:rsidRDefault="003E1C4C" w:rsidP="003E1C4C">
      <w:pPr>
        <w:pStyle w:val="Parlament"/>
        <w:ind w:firstLine="708"/>
      </w:pPr>
      <w:r w:rsidRPr="00EE0816">
        <w:t xml:space="preserve">Ministerstvo financí stanoví podle </w:t>
      </w:r>
      <w:r>
        <w:t xml:space="preserve">§ 48a odst. 6 zákona č. 235/2004 Sb., </w:t>
      </w:r>
      <w:r w:rsidRPr="00CB3B79">
        <w:t>o dani z přidané hodnoty</w:t>
      </w:r>
      <w:r>
        <w:t>, ve znění zákona č. 461/2024 Sb.</w:t>
      </w:r>
      <w:r w:rsidRPr="00EE0816">
        <w:t>:</w:t>
      </w:r>
      <w:bookmarkStart w:id="0" w:name="_GoBack"/>
      <w:bookmarkEnd w:id="0"/>
    </w:p>
    <w:p w14:paraId="48731B09" w14:textId="77777777" w:rsidR="003E1C4C" w:rsidRDefault="003E1C4C" w:rsidP="003E1C4C">
      <w:pPr>
        <w:pStyle w:val="Nadpisparagrafu"/>
        <w:spacing w:after="240"/>
        <w:outlineLvl w:val="1"/>
      </w:pPr>
      <w:r w:rsidRPr="00D11A05">
        <w:rPr>
          <w:b w:val="0"/>
        </w:rPr>
        <w:t>§ 1</w:t>
      </w:r>
    </w:p>
    <w:p w14:paraId="02E112D2" w14:textId="77777777" w:rsidR="003E1C4C" w:rsidRPr="004462A8" w:rsidRDefault="003E1C4C" w:rsidP="003E1C4C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eastAsiaTheme="minorEastAsia"/>
          <w:b/>
          <w:bCs/>
          <w:szCs w:val="24"/>
        </w:rPr>
      </w:pPr>
      <w:r w:rsidRPr="004462A8">
        <w:rPr>
          <w:rFonts w:eastAsiaTheme="minorEastAsia"/>
          <w:b/>
          <w:bCs/>
          <w:szCs w:val="24"/>
        </w:rPr>
        <w:t>Vymezení některých pojmů</w:t>
      </w:r>
    </w:p>
    <w:p w14:paraId="0F9BC102" w14:textId="77777777" w:rsidR="003E1C4C" w:rsidRDefault="003E1C4C" w:rsidP="003E1C4C">
      <w:pPr>
        <w:keepNext/>
        <w:widowControl w:val="0"/>
        <w:tabs>
          <w:tab w:val="left" w:pos="3312"/>
        </w:tabs>
        <w:autoSpaceDE w:val="0"/>
        <w:autoSpaceDN w:val="0"/>
        <w:adjustRightInd w:val="0"/>
        <w:spacing w:before="120" w:after="120"/>
        <w:ind w:firstLine="709"/>
        <w:rPr>
          <w:rFonts w:eastAsiaTheme="minorHAnsi"/>
          <w:szCs w:val="22"/>
        </w:rPr>
      </w:pPr>
      <w:r>
        <w:rPr>
          <w:rFonts w:eastAsiaTheme="minorHAnsi"/>
          <w:szCs w:val="22"/>
        </w:rPr>
        <w:t xml:space="preserve">Pro účely této </w:t>
      </w:r>
      <w:r w:rsidRPr="004462A8">
        <w:rPr>
          <w:rFonts w:eastAsiaTheme="minorEastAsia"/>
          <w:szCs w:val="24"/>
        </w:rPr>
        <w:t>vyhlášky</w:t>
      </w:r>
      <w:r w:rsidDel="0001481D">
        <w:rPr>
          <w:rFonts w:eastAsiaTheme="minorHAnsi"/>
          <w:szCs w:val="22"/>
        </w:rPr>
        <w:t xml:space="preserve"> se</w:t>
      </w:r>
      <w:r>
        <w:rPr>
          <w:rFonts w:eastAsiaTheme="minorHAnsi"/>
          <w:szCs w:val="22"/>
        </w:rPr>
        <w:t xml:space="preserve"> rozumí</w:t>
      </w:r>
    </w:p>
    <w:p w14:paraId="65481E7A" w14:textId="77777777" w:rsidR="003E1C4C" w:rsidRPr="004462A8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>
        <w:rPr>
          <w:rFonts w:eastAsiaTheme="minorHAnsi"/>
          <w:szCs w:val="22"/>
        </w:rPr>
        <w:t>a)</w:t>
      </w:r>
      <w:r>
        <w:rPr>
          <w:rFonts w:eastAsiaTheme="minorHAnsi"/>
          <w:szCs w:val="22"/>
        </w:rPr>
        <w:tab/>
        <w:t>m</w:t>
      </w:r>
      <w:r w:rsidRPr="0085062A">
        <w:rPr>
          <w:rFonts w:eastAsiaTheme="minorHAnsi"/>
          <w:szCs w:val="22"/>
        </w:rPr>
        <w:t xml:space="preserve">ístností </w:t>
      </w:r>
      <w:r w:rsidRPr="00D3695B">
        <w:rPr>
          <w:rFonts w:eastAsiaTheme="minorHAnsi"/>
          <w:szCs w:val="22"/>
        </w:rPr>
        <w:t>prostorově uzavřená část stavby</w:t>
      </w:r>
      <w:r>
        <w:rPr>
          <w:rFonts w:eastAsiaTheme="minorHAnsi"/>
          <w:szCs w:val="22"/>
        </w:rPr>
        <w:t xml:space="preserve"> </w:t>
      </w:r>
      <w:r w:rsidRPr="0085062A">
        <w:rPr>
          <w:rFonts w:eastAsiaTheme="minorHAnsi"/>
          <w:szCs w:val="22"/>
        </w:rPr>
        <w:t>vymezená podlahou, stropem nebo stře</w:t>
      </w:r>
      <w:r>
        <w:rPr>
          <w:rFonts w:eastAsiaTheme="minorHAnsi"/>
          <w:szCs w:val="22"/>
        </w:rPr>
        <w:t>šní</w:t>
      </w:r>
      <w:r w:rsidRPr="0085062A">
        <w:rPr>
          <w:rFonts w:eastAsiaTheme="minorHAnsi"/>
          <w:szCs w:val="22"/>
        </w:rPr>
        <w:t xml:space="preserve"> </w:t>
      </w:r>
      <w:r w:rsidRPr="004462A8">
        <w:rPr>
          <w:rFonts w:eastAsiaTheme="minorEastAsia"/>
          <w:szCs w:val="24"/>
        </w:rPr>
        <w:t>konstrukcí a pevnými stěnami,</w:t>
      </w:r>
    </w:p>
    <w:p w14:paraId="1AC61A5F" w14:textId="77777777" w:rsidR="003E1C4C" w:rsidRPr="004462A8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b)</w:t>
      </w:r>
      <w:r>
        <w:rPr>
          <w:rFonts w:eastAsiaTheme="minorEastAsia"/>
          <w:szCs w:val="24"/>
        </w:rPr>
        <w:tab/>
        <w:t xml:space="preserve">prostorem </w:t>
      </w:r>
      <w:r w:rsidRPr="00D3695B">
        <w:rPr>
          <w:rFonts w:eastAsiaTheme="minorHAnsi"/>
          <w:szCs w:val="22"/>
        </w:rPr>
        <w:t>část stavby</w:t>
      </w:r>
      <w:r w:rsidRPr="0085062A">
        <w:rPr>
          <w:rFonts w:eastAsiaTheme="minorHAnsi"/>
          <w:szCs w:val="22"/>
        </w:rPr>
        <w:t xml:space="preserve"> </w:t>
      </w:r>
      <w:r>
        <w:rPr>
          <w:rFonts w:eastAsiaTheme="minorHAnsi"/>
          <w:szCs w:val="22"/>
        </w:rPr>
        <w:t>splňující podmínky místnosti podle písmene a) s tím, že jí</w:t>
      </w:r>
      <w:r>
        <w:rPr>
          <w:rFonts w:eastAsiaTheme="minorEastAsia"/>
          <w:szCs w:val="24"/>
        </w:rPr>
        <w:t xml:space="preserve"> chybí alespoň</w:t>
      </w:r>
      <w:r w:rsidRPr="004462A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jedna pevná</w:t>
      </w:r>
      <w:r w:rsidRPr="004462A8">
        <w:rPr>
          <w:rFonts w:eastAsiaTheme="minorEastAsia"/>
          <w:szCs w:val="24"/>
        </w:rPr>
        <w:t xml:space="preserve"> stěn</w:t>
      </w:r>
      <w:r>
        <w:rPr>
          <w:rFonts w:eastAsiaTheme="minorEastAsia"/>
          <w:szCs w:val="24"/>
        </w:rPr>
        <w:t>a,</w:t>
      </w:r>
    </w:p>
    <w:p w14:paraId="3CEE5F24" w14:textId="77777777" w:rsidR="003E1C4C" w:rsidRPr="00314DB1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 w:rsidRPr="00314DB1">
        <w:rPr>
          <w:rFonts w:eastAsiaTheme="minorEastAsia"/>
          <w:szCs w:val="24"/>
        </w:rPr>
        <w:t>c)</w:t>
      </w:r>
      <w:r w:rsidRPr="00314DB1">
        <w:rPr>
          <w:rFonts w:eastAsiaTheme="minorEastAsia"/>
          <w:szCs w:val="24"/>
        </w:rPr>
        <w:tab/>
        <w:t>půdou přístupná místnost nebo prostor vymezené střešní konstrukcí a dalšími stavebními konstrukcemi, které nejsou určeny k účelovému využití.</w:t>
      </w:r>
    </w:p>
    <w:p w14:paraId="1FC4BD80" w14:textId="77777777" w:rsidR="003E1C4C" w:rsidRPr="00936FCE" w:rsidRDefault="003E1C4C" w:rsidP="00936FCE">
      <w:pPr>
        <w:pStyle w:val="Nadpisparagrafu"/>
        <w:spacing w:after="240"/>
        <w:outlineLvl w:val="1"/>
        <w:rPr>
          <w:b w:val="0"/>
        </w:rPr>
      </w:pPr>
      <w:r w:rsidRPr="00936FCE">
        <w:rPr>
          <w:b w:val="0"/>
        </w:rPr>
        <w:t>§ 2</w:t>
      </w:r>
    </w:p>
    <w:p w14:paraId="59A68DAC" w14:textId="77777777" w:rsidR="003E1C4C" w:rsidRPr="004462A8" w:rsidRDefault="003E1C4C" w:rsidP="003E1C4C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eastAsiaTheme="minorEastAsia"/>
          <w:b/>
          <w:bCs/>
          <w:szCs w:val="24"/>
        </w:rPr>
      </w:pPr>
      <w:r w:rsidRPr="004462A8">
        <w:rPr>
          <w:rFonts w:eastAsiaTheme="minorEastAsia"/>
          <w:b/>
          <w:bCs/>
          <w:szCs w:val="24"/>
        </w:rPr>
        <w:t>Způsob výpočtu podlahové plochy stavby nebo části stavby</w:t>
      </w:r>
    </w:p>
    <w:p w14:paraId="6595E5D6" w14:textId="77777777" w:rsidR="003E1C4C" w:rsidRDefault="003E1C4C" w:rsidP="003E1C4C">
      <w:pPr>
        <w:keepNext/>
        <w:widowControl w:val="0"/>
        <w:tabs>
          <w:tab w:val="left" w:pos="3312"/>
        </w:tabs>
        <w:autoSpaceDE w:val="0"/>
        <w:autoSpaceDN w:val="0"/>
        <w:adjustRightInd w:val="0"/>
        <w:spacing w:before="120" w:after="120"/>
        <w:ind w:firstLine="709"/>
        <w:rPr>
          <w:rFonts w:eastAsiaTheme="minorEastAsia"/>
          <w:szCs w:val="24"/>
        </w:rPr>
      </w:pPr>
      <w:r>
        <w:rPr>
          <w:rFonts w:eastAsiaTheme="minorHAnsi"/>
        </w:rPr>
        <w:t xml:space="preserve">(1) </w:t>
      </w:r>
      <w:r w:rsidRPr="004462A8">
        <w:rPr>
          <w:rFonts w:eastAsiaTheme="minorEastAsia"/>
          <w:szCs w:val="24"/>
        </w:rPr>
        <w:t xml:space="preserve">Podlahová plocha stavby se </w:t>
      </w:r>
      <w:bookmarkStart w:id="1" w:name="_Hlk193121124"/>
      <w:r w:rsidRPr="004462A8">
        <w:rPr>
          <w:rFonts w:eastAsiaTheme="minorEastAsia"/>
          <w:szCs w:val="24"/>
        </w:rPr>
        <w:t xml:space="preserve">vypočte jako součet podlahových ploch jednotlivých místností a </w:t>
      </w:r>
      <w:r w:rsidRPr="00314DB1">
        <w:rPr>
          <w:rFonts w:eastAsiaTheme="minorEastAsia"/>
          <w:szCs w:val="24"/>
        </w:rPr>
        <w:t>prostorů</w:t>
      </w:r>
      <w:r w:rsidRPr="004462A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uvnitř</w:t>
      </w:r>
      <w:bookmarkEnd w:id="1"/>
      <w:r>
        <w:rPr>
          <w:rFonts w:eastAsiaTheme="minorEastAsia"/>
          <w:szCs w:val="24"/>
        </w:rPr>
        <w:t xml:space="preserve"> obvodové konstrukce stavby, která odděluje</w:t>
      </w:r>
      <w:r w:rsidRPr="00725B66">
        <w:rPr>
          <w:rFonts w:eastAsiaTheme="minorEastAsia"/>
          <w:szCs w:val="24"/>
        </w:rPr>
        <w:t xml:space="preserve"> tuto stavbu od vnějšího prostředí</w:t>
      </w:r>
      <w:r>
        <w:rPr>
          <w:rFonts w:eastAsiaTheme="minorEastAsia"/>
          <w:szCs w:val="24"/>
        </w:rPr>
        <w:t>.</w:t>
      </w:r>
    </w:p>
    <w:p w14:paraId="429F213A" w14:textId="77777777" w:rsidR="003E1C4C" w:rsidRPr="004462A8" w:rsidRDefault="003E1C4C" w:rsidP="003E1C4C">
      <w:pPr>
        <w:keepNext/>
        <w:widowControl w:val="0"/>
        <w:tabs>
          <w:tab w:val="left" w:pos="3312"/>
        </w:tabs>
        <w:autoSpaceDE w:val="0"/>
        <w:autoSpaceDN w:val="0"/>
        <w:adjustRightInd w:val="0"/>
        <w:spacing w:before="120" w:after="120"/>
        <w:ind w:firstLine="709"/>
        <w:rPr>
          <w:rFonts w:eastAsiaTheme="minorEastAsia"/>
          <w:szCs w:val="24"/>
        </w:rPr>
      </w:pPr>
      <w:r w:rsidRPr="00C053F9">
        <w:rPr>
          <w:rFonts w:eastAsiaTheme="minorEastAsia"/>
          <w:szCs w:val="24"/>
        </w:rPr>
        <w:t xml:space="preserve">(2) Podlahová plocha části stavby se vypočte jako součet podlahových ploch jednotlivých místností a prostorů této části stavby, které se nacházejí uvnitř </w:t>
      </w:r>
      <w:r>
        <w:rPr>
          <w:rFonts w:eastAsiaTheme="minorEastAsia"/>
          <w:szCs w:val="24"/>
        </w:rPr>
        <w:t>obvodové konstrukce stavby, která odděluje</w:t>
      </w:r>
      <w:r w:rsidRPr="00725B66">
        <w:rPr>
          <w:rFonts w:eastAsiaTheme="minorEastAsia"/>
          <w:szCs w:val="24"/>
        </w:rPr>
        <w:t xml:space="preserve"> tuto stavbu od vnějšího prostředí</w:t>
      </w:r>
      <w:r w:rsidRPr="00C053F9">
        <w:rPr>
          <w:rFonts w:eastAsiaTheme="minorEastAsia"/>
          <w:szCs w:val="24"/>
        </w:rPr>
        <w:t>.</w:t>
      </w:r>
    </w:p>
    <w:p w14:paraId="6DCA89C8" w14:textId="77777777" w:rsidR="003E1C4C" w:rsidRDefault="003E1C4C" w:rsidP="003E1C4C">
      <w:pPr>
        <w:keepNext/>
        <w:widowControl w:val="0"/>
        <w:autoSpaceDE w:val="0"/>
        <w:autoSpaceDN w:val="0"/>
        <w:adjustRightInd w:val="0"/>
        <w:spacing w:before="120" w:after="120"/>
        <w:ind w:firstLine="709"/>
        <w:rPr>
          <w:rFonts w:eastAsiaTheme="minorHAnsi"/>
          <w:szCs w:val="22"/>
        </w:rPr>
      </w:pPr>
      <w:r w:rsidRPr="004462A8">
        <w:rPr>
          <w:rFonts w:eastAsiaTheme="minorEastAsia"/>
          <w:szCs w:val="24"/>
        </w:rPr>
        <w:t>(</w:t>
      </w:r>
      <w:r>
        <w:rPr>
          <w:rFonts w:eastAsiaTheme="minorEastAsia"/>
          <w:szCs w:val="24"/>
        </w:rPr>
        <w:t>3</w:t>
      </w:r>
      <w:r w:rsidRPr="004462A8">
        <w:rPr>
          <w:rFonts w:eastAsiaTheme="minorEastAsia"/>
          <w:szCs w:val="24"/>
        </w:rPr>
        <w:t>) Do</w:t>
      </w:r>
      <w:r>
        <w:rPr>
          <w:rFonts w:eastAsiaTheme="minorHAnsi"/>
          <w:szCs w:val="22"/>
        </w:rPr>
        <w:t xml:space="preserve"> podlahové plochy stavby nebo části stavby se nezapočítává podlahová plocha</w:t>
      </w:r>
    </w:p>
    <w:p w14:paraId="0E14A416" w14:textId="77777777" w:rsidR="003E1C4C" w:rsidRPr="004462A8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>
        <w:rPr>
          <w:rFonts w:eastAsiaTheme="minorHAnsi"/>
          <w:szCs w:val="22"/>
        </w:rPr>
        <w:t>a)</w:t>
      </w:r>
      <w:r>
        <w:rPr>
          <w:rFonts w:eastAsiaTheme="minorHAnsi"/>
          <w:szCs w:val="22"/>
        </w:rPr>
        <w:tab/>
      </w:r>
      <w:r w:rsidRPr="004462A8">
        <w:rPr>
          <w:rFonts w:eastAsiaTheme="minorEastAsia"/>
          <w:szCs w:val="24"/>
        </w:rPr>
        <w:t>půdy,</w:t>
      </w:r>
    </w:p>
    <w:p w14:paraId="48E79F28" w14:textId="77777777" w:rsidR="003E1C4C" w:rsidRPr="004462A8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</w:t>
      </w:r>
      <w:r w:rsidRPr="004462A8">
        <w:rPr>
          <w:rFonts w:eastAsiaTheme="minorEastAsia"/>
          <w:szCs w:val="24"/>
        </w:rPr>
        <w:t>)</w:t>
      </w:r>
      <w:r w:rsidRPr="004462A8">
        <w:rPr>
          <w:rFonts w:eastAsiaTheme="minorEastAsia"/>
          <w:szCs w:val="24"/>
        </w:rPr>
        <w:tab/>
        <w:t>lodžie,</w:t>
      </w:r>
    </w:p>
    <w:p w14:paraId="78D1A016" w14:textId="77777777" w:rsidR="003E1C4C" w:rsidRPr="004462A8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c)</w:t>
      </w:r>
      <w:r>
        <w:rPr>
          <w:rFonts w:eastAsiaTheme="minorEastAsia"/>
          <w:szCs w:val="24"/>
        </w:rPr>
        <w:tab/>
      </w:r>
      <w:r w:rsidRPr="004462A8">
        <w:rPr>
          <w:rFonts w:eastAsiaTheme="minorEastAsia"/>
          <w:szCs w:val="24"/>
        </w:rPr>
        <w:t>schodiště</w:t>
      </w:r>
      <w:r>
        <w:rPr>
          <w:rFonts w:eastAsiaTheme="minorEastAsia"/>
          <w:szCs w:val="24"/>
        </w:rPr>
        <w:t xml:space="preserve"> nebo jiné místnosti anebo prostoru, které jsou určeny k obdobnému využití, nebo</w:t>
      </w:r>
    </w:p>
    <w:p w14:paraId="1CF7750A" w14:textId="77777777" w:rsidR="003E1C4C" w:rsidRDefault="003E1C4C" w:rsidP="003E1C4C">
      <w:pPr>
        <w:widowControl w:val="0"/>
        <w:autoSpaceDE w:val="0"/>
        <w:autoSpaceDN w:val="0"/>
        <w:adjustRightInd w:val="0"/>
        <w:ind w:left="284" w:hanging="284"/>
        <w:rPr>
          <w:rFonts w:eastAsiaTheme="minorHAnsi"/>
          <w:szCs w:val="22"/>
        </w:rPr>
      </w:pPr>
      <w:r>
        <w:rPr>
          <w:rFonts w:eastAsiaTheme="minorEastAsia"/>
          <w:szCs w:val="24"/>
        </w:rPr>
        <w:t>d</w:t>
      </w:r>
      <w:r w:rsidRPr="004462A8">
        <w:rPr>
          <w:rFonts w:eastAsiaTheme="minorEastAsia"/>
          <w:szCs w:val="24"/>
        </w:rPr>
        <w:t>)</w:t>
      </w:r>
      <w:r w:rsidRPr="004462A8">
        <w:rPr>
          <w:rFonts w:eastAsiaTheme="minorEastAsia"/>
          <w:szCs w:val="24"/>
        </w:rPr>
        <w:tab/>
      </w:r>
      <w:r>
        <w:rPr>
          <w:rFonts w:eastAsiaTheme="minorEastAsia"/>
          <w:szCs w:val="24"/>
        </w:rPr>
        <w:t xml:space="preserve">kotelny, strojovny, výtahové šachty nebo jiné </w:t>
      </w:r>
      <w:r w:rsidRPr="004462A8">
        <w:rPr>
          <w:rFonts w:eastAsiaTheme="minorEastAsia"/>
          <w:szCs w:val="24"/>
        </w:rPr>
        <w:t>míst</w:t>
      </w:r>
      <w:r w:rsidRPr="00F41D51">
        <w:rPr>
          <w:rFonts w:eastAsiaTheme="minorHAnsi"/>
          <w:szCs w:val="22"/>
        </w:rPr>
        <w:t>nost</w:t>
      </w:r>
      <w:r>
        <w:rPr>
          <w:rFonts w:eastAsiaTheme="minorHAnsi"/>
          <w:szCs w:val="22"/>
        </w:rPr>
        <w:t>i</w:t>
      </w:r>
      <w:r w:rsidRPr="00F41D51">
        <w:rPr>
          <w:rFonts w:eastAsiaTheme="minorHAnsi"/>
          <w:szCs w:val="22"/>
        </w:rPr>
        <w:t xml:space="preserve"> </w:t>
      </w:r>
      <w:r>
        <w:rPr>
          <w:rFonts w:eastAsiaTheme="minorHAnsi"/>
          <w:szCs w:val="22"/>
        </w:rPr>
        <w:t>anebo</w:t>
      </w:r>
      <w:r w:rsidRPr="00F41D51">
        <w:rPr>
          <w:rFonts w:eastAsiaTheme="minorHAnsi"/>
          <w:szCs w:val="22"/>
        </w:rPr>
        <w:t xml:space="preserve"> prostor</w:t>
      </w:r>
      <w:r>
        <w:rPr>
          <w:rFonts w:eastAsiaTheme="minorHAnsi"/>
          <w:szCs w:val="22"/>
        </w:rPr>
        <w:t>u</w:t>
      </w:r>
      <w:r w:rsidRPr="00F41D51">
        <w:rPr>
          <w:rFonts w:eastAsiaTheme="minorHAnsi"/>
          <w:szCs w:val="22"/>
        </w:rPr>
        <w:t xml:space="preserve">, </w:t>
      </w:r>
      <w:r>
        <w:rPr>
          <w:rFonts w:eastAsiaTheme="minorHAnsi"/>
          <w:szCs w:val="22"/>
        </w:rPr>
        <w:t xml:space="preserve">které jsou určeny k využití </w:t>
      </w:r>
      <w:r w:rsidRPr="00F41D51">
        <w:rPr>
          <w:rFonts w:eastAsiaTheme="minorHAnsi"/>
          <w:szCs w:val="22"/>
        </w:rPr>
        <w:t>jako</w:t>
      </w:r>
      <w:r>
        <w:rPr>
          <w:rFonts w:eastAsiaTheme="minorHAnsi"/>
          <w:szCs w:val="22"/>
        </w:rPr>
        <w:t xml:space="preserve"> </w:t>
      </w:r>
      <w:r w:rsidRPr="006E7585">
        <w:rPr>
          <w:rFonts w:eastAsiaTheme="minorHAnsi"/>
          <w:szCs w:val="22"/>
        </w:rPr>
        <w:t>technologické zázemí</w:t>
      </w:r>
      <w:r>
        <w:rPr>
          <w:rFonts w:eastAsiaTheme="minorHAnsi"/>
          <w:szCs w:val="22"/>
        </w:rPr>
        <w:t>; to neplatí pro stavbu rodinného domu.</w:t>
      </w:r>
    </w:p>
    <w:p w14:paraId="5C51BCA6" w14:textId="77777777" w:rsidR="003E1C4C" w:rsidRPr="00EE796D" w:rsidRDefault="003E1C4C" w:rsidP="003E1C4C">
      <w:pPr>
        <w:pStyle w:val="Paragraf"/>
        <w:outlineLvl w:val="1"/>
      </w:pPr>
      <w:r w:rsidRPr="00EE796D">
        <w:t xml:space="preserve">§ </w:t>
      </w:r>
      <w:r>
        <w:t>3</w:t>
      </w:r>
    </w:p>
    <w:p w14:paraId="46BF191A" w14:textId="77777777" w:rsidR="003E1C4C" w:rsidRPr="004462A8" w:rsidRDefault="003E1C4C" w:rsidP="003E1C4C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eastAsiaTheme="minorEastAsia"/>
          <w:b/>
          <w:bCs/>
          <w:szCs w:val="24"/>
        </w:rPr>
      </w:pPr>
      <w:r w:rsidRPr="004462A8">
        <w:rPr>
          <w:rFonts w:eastAsiaTheme="minorEastAsia"/>
          <w:b/>
          <w:bCs/>
          <w:szCs w:val="24"/>
        </w:rPr>
        <w:t>Způsob výpočtu podlahové plochy místnosti</w:t>
      </w:r>
    </w:p>
    <w:p w14:paraId="2C32CA65" w14:textId="77777777" w:rsidR="003E1C4C" w:rsidRPr="004462A8" w:rsidRDefault="003E1C4C" w:rsidP="003E1C4C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eastAsiaTheme="minorEastAsia"/>
          <w:szCs w:val="24"/>
        </w:rPr>
      </w:pPr>
      <w:r w:rsidRPr="00EE796D">
        <w:rPr>
          <w:rFonts w:eastAsiaTheme="minorHAnsi"/>
          <w:szCs w:val="24"/>
        </w:rPr>
        <w:t xml:space="preserve">(1) </w:t>
      </w:r>
      <w:r w:rsidRPr="0085062A">
        <w:rPr>
          <w:rFonts w:eastAsiaTheme="minorHAnsi"/>
          <w:szCs w:val="24"/>
        </w:rPr>
        <w:t xml:space="preserve">Podlahová plocha místnosti se </w:t>
      </w:r>
      <w:r>
        <w:rPr>
          <w:rFonts w:eastAsiaTheme="minorHAnsi"/>
          <w:szCs w:val="24"/>
        </w:rPr>
        <w:t>vypočte</w:t>
      </w:r>
      <w:r w:rsidRPr="0085062A">
        <w:rPr>
          <w:rFonts w:eastAsiaTheme="minorHAnsi"/>
          <w:szCs w:val="24"/>
        </w:rPr>
        <w:t xml:space="preserve"> jako plocha vymezená vnitřním lícem svislých konstrukcí </w:t>
      </w:r>
      <w:r w:rsidRPr="004462A8">
        <w:rPr>
          <w:rFonts w:eastAsiaTheme="minorEastAsia"/>
          <w:szCs w:val="24"/>
        </w:rPr>
        <w:t xml:space="preserve">ohraničujících místnost; v místnosti se šikmou stěnou nebo šikmým stropem se podlahová plocha vypočte jako plocha vymezená </w:t>
      </w:r>
      <w:r w:rsidRPr="00876460">
        <w:rPr>
          <w:rFonts w:eastAsiaTheme="minorEastAsia"/>
          <w:szCs w:val="24"/>
        </w:rPr>
        <w:t>vnitřním lícem konstrukcí v úrovni 1,2 m nad úrovní podlahy</w:t>
      </w:r>
      <w:r w:rsidRPr="004462A8">
        <w:rPr>
          <w:rFonts w:eastAsiaTheme="minorEastAsia"/>
          <w:szCs w:val="24"/>
        </w:rPr>
        <w:t>.</w:t>
      </w:r>
      <w:r>
        <w:rPr>
          <w:rFonts w:eastAsiaTheme="minorEastAsia"/>
          <w:szCs w:val="24"/>
        </w:rPr>
        <w:t xml:space="preserve"> </w:t>
      </w:r>
    </w:p>
    <w:p w14:paraId="338B5743" w14:textId="77777777" w:rsidR="003E1C4C" w:rsidRPr="004462A8" w:rsidRDefault="003E1C4C" w:rsidP="003E1C4C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eastAsiaTheme="minorEastAsia"/>
          <w:szCs w:val="24"/>
        </w:rPr>
      </w:pPr>
      <w:r w:rsidRPr="004462A8" w:rsidDel="00F36B2D">
        <w:rPr>
          <w:rFonts w:eastAsiaTheme="minorEastAsia"/>
          <w:szCs w:val="24"/>
        </w:rPr>
        <w:t xml:space="preserve">(2) Do podlahové plochy místnosti se </w:t>
      </w:r>
      <w:r w:rsidRPr="004462A8">
        <w:rPr>
          <w:rFonts w:eastAsiaTheme="minorEastAsia"/>
          <w:szCs w:val="24"/>
        </w:rPr>
        <w:t>zahrne</w:t>
      </w:r>
      <w:r w:rsidRPr="004462A8" w:rsidDel="00F36B2D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 xml:space="preserve">také </w:t>
      </w:r>
      <w:r w:rsidRPr="004462A8" w:rsidDel="00F36B2D">
        <w:rPr>
          <w:rFonts w:eastAsiaTheme="minorEastAsia"/>
          <w:szCs w:val="24"/>
        </w:rPr>
        <w:t>podlahová plocha galerie</w:t>
      </w:r>
      <w:r w:rsidRPr="004462A8">
        <w:rPr>
          <w:rFonts w:eastAsiaTheme="minorEastAsia"/>
          <w:szCs w:val="24"/>
        </w:rPr>
        <w:t>, pokud</w:t>
      </w:r>
      <w:r w:rsidRPr="004462A8" w:rsidDel="008872AE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světlá výška galerie</w:t>
      </w:r>
      <w:r w:rsidRPr="004462A8">
        <w:rPr>
          <w:rFonts w:eastAsiaTheme="minorEastAsia"/>
          <w:szCs w:val="24"/>
        </w:rPr>
        <w:t xml:space="preserve"> dosahuj</w:t>
      </w:r>
      <w:r>
        <w:rPr>
          <w:rFonts w:eastAsiaTheme="minorEastAsia"/>
          <w:szCs w:val="24"/>
        </w:rPr>
        <w:t>e</w:t>
      </w:r>
      <w:r w:rsidRPr="004462A8">
        <w:rPr>
          <w:rFonts w:eastAsiaTheme="minorEastAsia"/>
          <w:szCs w:val="24"/>
        </w:rPr>
        <w:t xml:space="preserve"> alespoň 2,</w:t>
      </w:r>
      <w:r>
        <w:rPr>
          <w:rFonts w:eastAsiaTheme="minorEastAsia"/>
          <w:szCs w:val="24"/>
        </w:rPr>
        <w:t>1</w:t>
      </w:r>
      <w:r w:rsidRPr="004462A8">
        <w:rPr>
          <w:rFonts w:eastAsiaTheme="minorEastAsia"/>
          <w:szCs w:val="24"/>
        </w:rPr>
        <w:t xml:space="preserve"> m.</w:t>
      </w:r>
    </w:p>
    <w:p w14:paraId="561337D5" w14:textId="039F85A0" w:rsidR="003E1C4C" w:rsidRDefault="003E1C4C" w:rsidP="00936FCE">
      <w:pPr>
        <w:keepNext/>
        <w:widowControl w:val="0"/>
        <w:tabs>
          <w:tab w:val="left" w:pos="3312"/>
        </w:tabs>
        <w:autoSpaceDE w:val="0"/>
        <w:autoSpaceDN w:val="0"/>
        <w:adjustRightInd w:val="0"/>
        <w:spacing w:before="120" w:after="120"/>
        <w:ind w:firstLine="709"/>
      </w:pPr>
      <w:r w:rsidRPr="004462A8">
        <w:rPr>
          <w:rFonts w:eastAsiaTheme="minorEastAsia"/>
          <w:szCs w:val="24"/>
        </w:rPr>
        <w:lastRenderedPageBreak/>
        <w:t>(3) Podlahová</w:t>
      </w:r>
      <w:r>
        <w:rPr>
          <w:rFonts w:eastAsiaTheme="minorHAnsi"/>
          <w:szCs w:val="24"/>
        </w:rPr>
        <w:t xml:space="preserve"> plocha místnosti se vypočte v m</w:t>
      </w:r>
      <w:r w:rsidRPr="00B9071C">
        <w:rPr>
          <w:rFonts w:eastAsiaTheme="minorHAnsi"/>
          <w:szCs w:val="24"/>
          <w:vertAlign w:val="superscript"/>
        </w:rPr>
        <w:t>2</w:t>
      </w:r>
      <w:r>
        <w:rPr>
          <w:rFonts w:eastAsiaTheme="minorHAnsi"/>
          <w:szCs w:val="24"/>
        </w:rPr>
        <w:t xml:space="preserve"> a </w:t>
      </w:r>
      <w:r w:rsidRPr="005813AF">
        <w:rPr>
          <w:rFonts w:eastAsiaTheme="minorHAnsi"/>
          <w:szCs w:val="24"/>
        </w:rPr>
        <w:t>zaokrouhl</w:t>
      </w:r>
      <w:r>
        <w:rPr>
          <w:rFonts w:eastAsiaTheme="minorHAnsi"/>
          <w:szCs w:val="24"/>
        </w:rPr>
        <w:t>í</w:t>
      </w:r>
      <w:r w:rsidRPr="005813AF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se </w:t>
      </w:r>
      <w:r w:rsidRPr="005813AF">
        <w:rPr>
          <w:rFonts w:eastAsiaTheme="minorHAnsi"/>
          <w:szCs w:val="24"/>
        </w:rPr>
        <w:t xml:space="preserve">na </w:t>
      </w:r>
      <w:r>
        <w:rPr>
          <w:rFonts w:eastAsiaTheme="minorHAnsi"/>
          <w:szCs w:val="24"/>
        </w:rPr>
        <w:t>2 desetinná místa.</w:t>
      </w:r>
    </w:p>
    <w:p w14:paraId="5AF6F6BE" w14:textId="27893717" w:rsidR="003E1C4C" w:rsidRPr="00EE796D" w:rsidRDefault="003E1C4C" w:rsidP="003E1C4C">
      <w:pPr>
        <w:pStyle w:val="Paragraf"/>
        <w:outlineLvl w:val="1"/>
      </w:pPr>
      <w:r w:rsidRPr="00EE796D">
        <w:t xml:space="preserve">§ </w:t>
      </w:r>
      <w:r>
        <w:t>4</w:t>
      </w:r>
    </w:p>
    <w:p w14:paraId="4F64B44F" w14:textId="77777777" w:rsidR="003E1C4C" w:rsidRPr="004462A8" w:rsidRDefault="003E1C4C" w:rsidP="003E1C4C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eastAsiaTheme="minorEastAsia"/>
          <w:b/>
          <w:bCs/>
          <w:szCs w:val="24"/>
        </w:rPr>
      </w:pPr>
      <w:r w:rsidRPr="004462A8">
        <w:rPr>
          <w:rFonts w:eastAsiaTheme="minorEastAsia"/>
          <w:b/>
          <w:bCs/>
          <w:szCs w:val="24"/>
        </w:rPr>
        <w:t>Způsob výpočtu podlahové plochy prostoru</w:t>
      </w:r>
    </w:p>
    <w:p w14:paraId="65661A02" w14:textId="77777777" w:rsidR="003E1C4C" w:rsidRPr="002C500D" w:rsidRDefault="003E1C4C" w:rsidP="003E1C4C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eastAsiaTheme="minorHAnsi"/>
          <w:szCs w:val="24"/>
        </w:rPr>
      </w:pPr>
      <w:r w:rsidRPr="002C500D">
        <w:rPr>
          <w:rFonts w:eastAsiaTheme="minorHAnsi"/>
          <w:szCs w:val="24"/>
        </w:rPr>
        <w:t xml:space="preserve">Na výpočet podlahové plochy prostoru se ustanovení upravující výpočet podlahové plochy místnosti použijí obdobně s tím, že </w:t>
      </w:r>
      <w:r w:rsidRPr="00314DB1">
        <w:rPr>
          <w:rFonts w:eastAsiaTheme="minorHAnsi"/>
          <w:szCs w:val="24"/>
        </w:rPr>
        <w:t xml:space="preserve">místo </w:t>
      </w:r>
      <w:r w:rsidRPr="00E76C41">
        <w:rPr>
          <w:rFonts w:eastAsiaTheme="minorHAnsi"/>
          <w:szCs w:val="24"/>
        </w:rPr>
        <w:t>chybějící svislé konstrukce</w:t>
      </w:r>
      <w:r w:rsidRPr="002C500D">
        <w:rPr>
          <w:rFonts w:eastAsiaTheme="minorHAnsi"/>
          <w:szCs w:val="24"/>
        </w:rPr>
        <w:t xml:space="preserve"> se plocha prostoru vymezí pravoúhlým </w:t>
      </w:r>
      <w:r w:rsidRPr="004462A8">
        <w:rPr>
          <w:rFonts w:eastAsiaTheme="minorEastAsia"/>
          <w:szCs w:val="24"/>
        </w:rPr>
        <w:t>průmětem</w:t>
      </w:r>
      <w:r w:rsidRPr="002C500D">
        <w:rPr>
          <w:rFonts w:eastAsiaTheme="minorHAnsi"/>
          <w:szCs w:val="24"/>
        </w:rPr>
        <w:t xml:space="preserve"> obvodu vodorovné nosné konstrukce.</w:t>
      </w:r>
    </w:p>
    <w:p w14:paraId="19009A5E" w14:textId="77777777" w:rsidR="003E1C4C" w:rsidRPr="00EA5E32" w:rsidRDefault="003E1C4C" w:rsidP="003E1C4C">
      <w:pPr>
        <w:pStyle w:val="Paragraf"/>
        <w:outlineLvl w:val="1"/>
      </w:pPr>
      <w:r w:rsidRPr="00EA5E32">
        <w:t xml:space="preserve">§ </w:t>
      </w:r>
      <w:r>
        <w:t>5</w:t>
      </w:r>
    </w:p>
    <w:p w14:paraId="472EC13E" w14:textId="77777777" w:rsidR="003E1C4C" w:rsidRPr="004462A8" w:rsidRDefault="003E1C4C" w:rsidP="003E1C4C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eastAsiaTheme="minorEastAsia"/>
          <w:b/>
          <w:bCs/>
          <w:szCs w:val="24"/>
        </w:rPr>
      </w:pPr>
      <w:r w:rsidRPr="004462A8">
        <w:rPr>
          <w:rFonts w:eastAsiaTheme="minorEastAsia"/>
          <w:b/>
          <w:bCs/>
          <w:szCs w:val="24"/>
        </w:rPr>
        <w:t>Účinnost</w:t>
      </w:r>
    </w:p>
    <w:p w14:paraId="67B85118" w14:textId="77777777" w:rsidR="003E1C4C" w:rsidRDefault="003E1C4C" w:rsidP="003E1C4C">
      <w:pPr>
        <w:keepNext/>
        <w:widowControl w:val="0"/>
        <w:tabs>
          <w:tab w:val="left" w:pos="3312"/>
        </w:tabs>
        <w:autoSpaceDE w:val="0"/>
        <w:autoSpaceDN w:val="0"/>
        <w:adjustRightInd w:val="0"/>
        <w:spacing w:before="120" w:after="120"/>
        <w:ind w:firstLine="709"/>
        <w:rPr>
          <w:rFonts w:eastAsiaTheme="minorHAnsi"/>
          <w:szCs w:val="24"/>
        </w:rPr>
      </w:pPr>
      <w:r w:rsidRPr="004462A8">
        <w:rPr>
          <w:rFonts w:eastAsiaTheme="minorEastAsia"/>
          <w:szCs w:val="24"/>
        </w:rPr>
        <w:t>Tato</w:t>
      </w:r>
      <w:r w:rsidRPr="00AE4005">
        <w:rPr>
          <w:rFonts w:eastAsiaTheme="minorHAnsi"/>
          <w:szCs w:val="24"/>
        </w:rPr>
        <w:t xml:space="preserve"> vyhláška nabývá účinnosti dnem </w:t>
      </w:r>
      <w:r>
        <w:rPr>
          <w:rFonts w:eastAsiaTheme="minorHAnsi"/>
          <w:szCs w:val="24"/>
        </w:rPr>
        <w:t>1. července 2025</w:t>
      </w:r>
      <w:r w:rsidRPr="00AE4005">
        <w:rPr>
          <w:rFonts w:eastAsiaTheme="minorHAnsi"/>
          <w:szCs w:val="24"/>
        </w:rPr>
        <w:t>.</w:t>
      </w:r>
    </w:p>
    <w:p w14:paraId="7161166F" w14:textId="58A07AC5" w:rsidR="00FF2984" w:rsidRPr="003E1C4C" w:rsidRDefault="00FF2984" w:rsidP="003E1C4C"/>
    <w:sectPr w:rsidR="00FF2984" w:rsidRPr="003E1C4C" w:rsidSect="00157FEF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299C1" w14:textId="77777777" w:rsidR="00033815" w:rsidRDefault="004D5F19">
      <w:r>
        <w:separator/>
      </w:r>
    </w:p>
  </w:endnote>
  <w:endnote w:type="continuationSeparator" w:id="0">
    <w:p w14:paraId="6C8577A8" w14:textId="77777777" w:rsidR="00033815" w:rsidRDefault="004D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62ACA" w14:textId="77777777" w:rsidR="00033815" w:rsidRDefault="004D5F19">
      <w:r>
        <w:separator/>
      </w:r>
    </w:p>
  </w:footnote>
  <w:footnote w:type="continuationSeparator" w:id="0">
    <w:p w14:paraId="70C03416" w14:textId="77777777" w:rsidR="00033815" w:rsidRDefault="004D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4BCBF" w14:textId="77777777" w:rsidR="00EC4714" w:rsidRDefault="00F139F2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C59C0A8" w14:textId="77777777" w:rsidR="00EC4714" w:rsidRDefault="00157FE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AFE15" w14:textId="7E7B3FCB" w:rsidR="00EC4714" w:rsidRDefault="00F139F2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7FEF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14:paraId="03A2495E" w14:textId="77777777" w:rsidR="00EC4714" w:rsidRDefault="00157FEF" w:rsidP="00157F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DA0E1" w14:textId="77777777" w:rsidR="00157FEF" w:rsidRPr="00E35C9E" w:rsidRDefault="00157FEF" w:rsidP="00157FEF">
    <w:pPr>
      <w:pStyle w:val="Zhlav"/>
      <w:jc w:val="right"/>
      <w:rPr>
        <w:b/>
        <w:bCs/>
        <w:szCs w:val="24"/>
      </w:rPr>
    </w:pPr>
    <w:r>
      <w:rPr>
        <w:b/>
        <w:bCs/>
        <w:szCs w:val="24"/>
      </w:rPr>
      <w:t>II.</w:t>
    </w:r>
  </w:p>
  <w:p w14:paraId="105C3269" w14:textId="554A3E87" w:rsidR="00EC4714" w:rsidRPr="00157FEF" w:rsidRDefault="00F139F2" w:rsidP="00157FEF">
    <w:pPr>
      <w:tabs>
        <w:tab w:val="center" w:pos="4536"/>
        <w:tab w:val="right" w:pos="9072"/>
      </w:tabs>
      <w:rPr>
        <w:b/>
      </w:rPr>
    </w:pPr>
    <w:r w:rsidRPr="00157FEF">
      <w:rPr>
        <w:b/>
      </w:rPr>
      <w:tab/>
    </w:r>
    <w:r w:rsidRPr="00157FEF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54D"/>
    <w:multiLevelType w:val="hybridMultilevel"/>
    <w:tmpl w:val="4DA66C2C"/>
    <w:lvl w:ilvl="0" w:tplc="384059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B70A6"/>
    <w:multiLevelType w:val="hybridMultilevel"/>
    <w:tmpl w:val="1494C8B0"/>
    <w:lvl w:ilvl="0" w:tplc="AACE21B4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9D"/>
    <w:rsid w:val="00033815"/>
    <w:rsid w:val="00157FEF"/>
    <w:rsid w:val="001C119D"/>
    <w:rsid w:val="003E1C4C"/>
    <w:rsid w:val="004D5F19"/>
    <w:rsid w:val="00936FCE"/>
    <w:rsid w:val="00F139F2"/>
    <w:rsid w:val="00F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AE544"/>
  <w15:chartTrackingRefBased/>
  <w15:docId w15:val="{0743CCDA-2550-4F96-B4EB-F475AEAE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C11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1C4C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C11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C119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aragraf">
    <w:name w:val="Paragraf"/>
    <w:basedOn w:val="Normln"/>
    <w:next w:val="Normln"/>
    <w:link w:val="ParagrafChar"/>
    <w:rsid w:val="001C119D"/>
    <w:pPr>
      <w:keepNext/>
      <w:keepLines/>
      <w:spacing w:before="240"/>
      <w:jc w:val="center"/>
      <w:outlineLvl w:val="5"/>
    </w:pPr>
  </w:style>
  <w:style w:type="character" w:styleId="slostrnky">
    <w:name w:val="page number"/>
    <w:basedOn w:val="Standardnpsmoodstavce"/>
    <w:semiHidden/>
    <w:rsid w:val="001C119D"/>
  </w:style>
  <w:style w:type="paragraph" w:customStyle="1" w:styleId="Nvrh">
    <w:name w:val="Návrh"/>
    <w:basedOn w:val="Normln"/>
    <w:next w:val="Normln"/>
    <w:rsid w:val="001C119D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Nadpisparagrafu">
    <w:name w:val="Nadpis paragrafu"/>
    <w:basedOn w:val="Paragraf"/>
    <w:next w:val="Normln"/>
    <w:link w:val="NadpisparagrafuChar2"/>
    <w:rsid w:val="001C119D"/>
    <w:rPr>
      <w:b/>
    </w:rPr>
  </w:style>
  <w:style w:type="paragraph" w:customStyle="1" w:styleId="VYHLKA">
    <w:name w:val="VYHLÁŠKA"/>
    <w:basedOn w:val="Normln"/>
    <w:next w:val="Normln"/>
    <w:rsid w:val="001C119D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1C119D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Normln"/>
    <w:rsid w:val="001C119D"/>
    <w:pPr>
      <w:keepNext/>
      <w:keepLines/>
      <w:spacing w:before="360" w:after="240"/>
    </w:pPr>
  </w:style>
  <w:style w:type="paragraph" w:customStyle="1" w:styleId="Dvodovzprva">
    <w:name w:val="Důvodová zpráva"/>
    <w:basedOn w:val="Normln"/>
    <w:link w:val="DvodovzprvaChar"/>
    <w:uiPriority w:val="99"/>
    <w:qFormat/>
    <w:rsid w:val="001C119D"/>
    <w:pPr>
      <w:spacing w:before="120"/>
      <w:outlineLvl w:val="0"/>
    </w:pPr>
    <w:rPr>
      <w:rFonts w:ascii="Arial" w:hAnsi="Arial"/>
      <w:color w:val="0000FF"/>
      <w:sz w:val="22"/>
    </w:rPr>
  </w:style>
  <w:style w:type="character" w:customStyle="1" w:styleId="DvodovzprvaChar">
    <w:name w:val="Důvodová zpráva Char"/>
    <w:link w:val="Dvodovzprva"/>
    <w:uiPriority w:val="99"/>
    <w:locked/>
    <w:rsid w:val="001C119D"/>
    <w:rPr>
      <w:rFonts w:ascii="Arial" w:eastAsia="Times New Roman" w:hAnsi="Arial" w:cs="Times New Roman"/>
      <w:color w:val="0000FF"/>
      <w:szCs w:val="20"/>
      <w:lang w:eastAsia="cs-CZ"/>
    </w:rPr>
  </w:style>
  <w:style w:type="character" w:customStyle="1" w:styleId="ParagrafChar">
    <w:name w:val="Paragraf Char"/>
    <w:link w:val="Paragraf"/>
    <w:rsid w:val="001C119D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paragrafuChar2">
    <w:name w:val="Nadpis paragrafu Char2"/>
    <w:link w:val="Nadpisparagrafu"/>
    <w:rsid w:val="001C119D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1C119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C119D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119D"/>
    <w:rPr>
      <w:rFonts w:ascii="Calibri" w:eastAsia="Calibri" w:hAnsi="Calibri" w:cs="Times New Roman"/>
      <w:sz w:val="20"/>
      <w:szCs w:val="20"/>
    </w:rPr>
  </w:style>
  <w:style w:type="paragraph" w:customStyle="1" w:styleId="Dvodovzprvakbodu">
    <w:name w:val="Důvodová zpráva (k bodu)"/>
    <w:basedOn w:val="Dvodovzprva"/>
    <w:next w:val="Dvodovzprva"/>
    <w:qFormat/>
    <w:rsid w:val="001C119D"/>
    <w:pPr>
      <w:keepNext/>
      <w:numPr>
        <w:numId w:val="1"/>
      </w:numPr>
      <w:tabs>
        <w:tab w:val="num" w:pos="360"/>
      </w:tabs>
      <w:outlineLvl w:val="2"/>
    </w:pPr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11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119D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1C4C"/>
    <w:rPr>
      <w:rFonts w:ascii="Cambria" w:eastAsia="Times New Roman" w:hAnsi="Cambria" w:cs="Times New Roman"/>
      <w:i/>
      <w:iCs/>
      <w:color w:val="243F60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57FE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57FEF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.MF-Daňová legislativa</dc:creator>
  <cp:keywords/>
  <dc:description/>
  <cp:lastModifiedBy>Jakub Hlista</cp:lastModifiedBy>
  <cp:revision>5</cp:revision>
  <dcterms:created xsi:type="dcterms:W3CDTF">2025-03-21T09:36:00Z</dcterms:created>
  <dcterms:modified xsi:type="dcterms:W3CDTF">2025-03-25T16:17:00Z</dcterms:modified>
</cp:coreProperties>
</file>