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 w:rsidR="00A77B3E"/>
    <w:p w:rsidR="00A77B3E">
      <w:pPr>
        <w:pStyle w:val="1"/>
      </w:pPr>
    </w:p>
    <w:p w:rsidR="00A77B3E">
      <w:pPr>
        <w:pStyle w:val="1"/>
      </w:pPr>
    </w:p>
    <w:p w:rsidR="00A77B3E">
      <w:pPr>
        <w:pStyle w:val="2"/>
      </w:pPr>
      <w:r>
        <w:t>VII.</w:t>
      </w:r>
    </w:p>
    <w:p w:rsidR="00A77B3E">
      <w:pPr>
        <w:pStyle w:val="1"/>
      </w:pPr>
    </w:p>
    <w:p w:rsidR="00A77B3E">
      <w:pPr>
        <w:pStyle w:val="3"/>
      </w:pPr>
      <w:r>
        <w:t>Stručný popis obsahu návrhu právního předpisu</w:t>
      </w:r>
    </w:p>
    <w:p w:rsidR="00A77B3E">
      <w:pPr>
        <w:pStyle w:val="1"/>
      </w:pPr>
    </w:p>
    <w:p w:rsidR="00A77B3E">
      <w:pPr>
        <w:pStyle w:val="4"/>
      </w:pPr>
      <w:r>
        <w:t>Návrh nařízení vlády, kterým se mění nařízení vlády č. 417/2025 Sb., k provedení zákona o jednotném měsíčním hlášení zaměstnavatele</w:t>
      </w:r>
    </w:p>
    <w:p w:rsidR="00A77B3E">
      <w:pPr>
        <w:pStyle w:val="1"/>
      </w:pPr>
    </w:p>
    <w:p w:rsidR="00A77B3E">
      <w:pPr>
        <w:pStyle w:val="5"/>
      </w:pPr>
      <w:r>
        <w:t>Návrh nařízení vlády, kterým se mění nařízení vlády č. 417/2025 Sb., k provedení zákona o jednotném měsíčním hlášení zaměstnavatele, (dále jen „návrh nařízení vlády“) vychází ze zmocnění upraveného v § 6 odst. 4, § 9 odst. 4, § 11 odst. 6, § 16 odst. 4, § 18 odst. 4 a § 31 odst. 5 zákona č. 323/2025 Sb., o jednotném měsíčním hlášení zaměstnavatele (dále jen „zákon o JMHZ“). Cílem tohoto návrhu nařízení vlády je sladění podoby nařízení vlády s podobou zákona o JMHZ a také s vývojem povinností zaměstnavatelů, které plní prostřednictvím jednotného měsíčního hlášení zaměstnavatele (dále jen „JMHZ“).</w:t>
      </w:r>
    </w:p>
    <w:p w:rsidR="00A77B3E">
      <w:pPr>
        <w:pStyle w:val="6"/>
      </w:pPr>
      <w:r>
        <w:t>V návrhu nařízení vlády jsou aktualizovány tabulky údajů sdělovaných v rámci jednotlivých typů podání (jednotné měsíční hlášení, evidence zaměstnavatele, evidence zaměstnance). Jde jednak o úpravy vyplývající ze změn právních předpisů, které povinnosti plněné prostřednictvím JMHZ ukládají, a dále pak o úpravy vyplývající z praktických zkušeností, které směřují k většímu či menšímu detailu hlášených údajů.</w:t>
      </w:r>
    </w:p>
    <w:p w:rsidR="00A77B3E">
      <w:pPr>
        <w:pStyle w:val="6"/>
      </w:pPr>
      <w:r>
        <w:t>Pokud jde o legislativní změny, návrh nařízení vlády reaguje zejména na připravovanou právní úpravu obsaženou v návrhu zákona o platformové práci a v návrhu novely zákona č. 262/2006 Sb., zákoník práce, ve znění pozdějších předpisů, v oblasti transparentnosti odměňování, jakož i na novelu zákona č. 258/2000 Sb., o ochraně veřejného zdraví a o změně některých souvisejících zákonů, ve znění pozdějších předpisů. Tyto změny se promítají zejména do rozšíření hlášených údajů a současně do rozšíření okruhu jejich uživatelů o Státní úřad inspekce práce a oblastní inspektoráty práce, jakož i o Ministerstvo zdravotnictví a krajské hygienické stanice.</w:t>
      </w:r>
    </w:p>
    <w:p w:rsidR="00A77B3E">
      <w:pPr>
        <w:pStyle w:val="7"/>
      </w:pPr>
      <w:r>
        <w:t>V souladu se zákonem o JMHZ je pak v přílohách uváděn nový uživatel údajů, kterým je Ministerstvo spravedlnosti.</w:t>
      </w:r>
    </w:p>
    <w:sectPr>
      <w:headerReference w:type="even" r:id="rId4"/>
      <w:headerReference w:type="default" r:id="rId5"/>
      <w:headerReference w:type="first" r:id="rId6"/>
      <w:pgSz w:w="12240" w:h="15840"/>
      <w:pgMar w:top="1417" w:right="1417" w:bottom="1417" w:left="1417" w:header="400" w:footer="708" w:gutter="0"/>
      <w:pgNumType w:start="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1881"/>
      <w:gridCol w:w="2822"/>
      <w:gridCol w:w="2822"/>
      <w:gridCol w:w="1881"/>
    </w:tblGrid>
    <w:tr>
      <w:tblPrEx>
        <w:tblW w:w="5000" w:type="pct"/>
      </w:tblPrEx>
      <w:tc>
        <w:tcPr>
          <w:gridSpan w:val="4"/>
        </w:tcPr>
        <w:p>
          <w:pPr>
            <w:pStyle w:val="HlavickaZlutyText"/>
            <w:jc w:val="center"/>
          </w:pPr>
        </w:p>
      </w:tc>
    </w:tr>
    <w:tr>
      <w:tblPrEx>
        <w:tblW w:w="5000" w:type="pct"/>
        <w:tblBorders>
          <w:bottom w:val="single" w:sz="12" w:space="0" w:color="000000"/>
        </w:tblBorders>
      </w:tblPrEx>
      <w:tc>
        <w:tcPr>
          <w:tcW w:w="1000" w:type="pct"/>
        </w:tcPr>
        <w:p>
          <w:pPr>
            <w:pStyle w:val="Hlavicka"/>
            <w:jc w:val="left"/>
          </w:pPr>
          <w:r>
            <w:t xml:space="preserve">strana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  <w:tc>
        <w:tcPr>
          <w:tcW w:w="3000" w:type="pct"/>
          <w:gridSpan w:val="2"/>
        </w:tcPr>
        <w:p>
          <w:pPr>
            <w:pStyle w:val="Hlavicka"/>
            <w:jc w:val="center"/>
          </w:pPr>
          <w:r>
            <w:t>Stručný popis obsahu návrhu právního předpisu</w:t>
          </w:r>
        </w:p>
      </w:tc>
      <w:tc>
        <w:tcPr>
          <w:tcW w:w="1000" w:type="pct"/>
        </w:tcPr>
        <w:p>
          <w:pPr>
            <w:pStyle w:val="Hlavicka"/>
            <w:jc w:val="right"/>
          </w:pPr>
        </w:p>
      </w:tc>
    </w:tr>
    <w:tr>
      <w:tblPrEx>
        <w:tblW w:w="5000" w:type="pct"/>
      </w:tblPrEx>
      <w:tc>
        <w:tcPr>
          <w:tcW w:w="2500" w:type="pct"/>
          <w:gridSpan w:val="2"/>
        </w:tcPr>
        <w:p>
          <w:pPr>
            <w:pStyle w:val="Hlavicka"/>
            <w:jc w:val="left"/>
          </w:pPr>
          <w:r>
            <w:t>Uzavřená verze: 2026-0163-001-TVO</w:t>
          </w:r>
        </w:p>
      </w:tc>
      <w:tc>
        <w:tcPr>
          <w:tcW w:w="2500" w:type="pct"/>
          <w:gridSpan w:val="2"/>
        </w:tcPr>
        <w:p>
          <w:pPr>
            <w:pStyle w:val="Hlavicka"/>
            <w:jc w:val="right"/>
          </w:pPr>
        </w:p>
      </w:tc>
    </w:tr>
  </w:tbl>
  <w:p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1881"/>
      <w:gridCol w:w="2822"/>
      <w:gridCol w:w="2822"/>
      <w:gridCol w:w="1881"/>
    </w:tblGrid>
    <w:tr>
      <w:tblPrEx>
        <w:tblW w:w="5000" w:type="pct"/>
      </w:tblPrEx>
      <w:tc>
        <w:tcPr>
          <w:tcW w:w="2500" w:type="pct"/>
          <w:gridSpan w:val="4"/>
        </w:tcPr>
        <w:p>
          <w:pPr>
            <w:pStyle w:val="HlavickaZlutyText"/>
            <w:jc w:val="center"/>
          </w:pPr>
        </w:p>
      </w:tc>
    </w:tr>
    <w:tr>
      <w:tblPrEx>
        <w:tblW w:w="5000" w:type="pct"/>
        <w:tblBorders>
          <w:bottom w:val="single" w:sz="12" w:space="0" w:color="000000"/>
        </w:tblBorders>
      </w:tblPrEx>
      <w:tc>
        <w:tcPr>
          <w:tcW w:w="1000" w:type="pct"/>
        </w:tcPr>
        <w:p>
          <w:pPr>
            <w:pStyle w:val="Hlavicka"/>
            <w:jc w:val="left"/>
          </w:pPr>
        </w:p>
      </w:tc>
      <w:tc>
        <w:tcPr>
          <w:tcW w:w="3000" w:type="pct"/>
          <w:gridSpan w:val="2"/>
        </w:tcPr>
        <w:p>
          <w:pPr>
            <w:pStyle w:val="Hlavicka"/>
            <w:jc w:val="center"/>
          </w:pPr>
          <w:r>
            <w:t>Stručný popis obsahu návrhu právního předpisu</w:t>
          </w:r>
        </w:p>
      </w:tc>
      <w:tc>
        <w:tcPr>
          <w:tcW w:w="1000" w:type="pct"/>
        </w:tcPr>
        <w:p>
          <w:pPr>
            <w:pStyle w:val="Hlavicka"/>
            <w:jc w:val="right"/>
          </w:pPr>
          <w:r>
            <w:t xml:space="preserve">strana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  <w:tr>
      <w:tblPrEx>
        <w:tblW w:w="5000" w:type="pct"/>
      </w:tblPrEx>
      <w:tc>
        <w:tcPr>
          <w:tcW w:w="2500" w:type="pct"/>
          <w:gridSpan w:val="2"/>
        </w:tcPr>
        <w:p>
          <w:pPr>
            <w:pStyle w:val="Hlavicka"/>
            <w:jc w:val="left"/>
          </w:pPr>
        </w:p>
      </w:tc>
      <w:tc>
        <w:tcPr>
          <w:tcW w:w="2500" w:type="pct"/>
          <w:gridSpan w:val="2"/>
        </w:tcPr>
        <w:p>
          <w:pPr>
            <w:pStyle w:val="Hlavicka"/>
            <w:jc w:val="right"/>
          </w:pPr>
          <w:r>
            <w:t>Uzavřená verze: 2026-0163-001-TVO</w:t>
          </w:r>
        </w:p>
      </w:tc>
    </w:tr>
  </w:tbl>
  <w:p>
    <w:pPr>
      <w:pStyle w:val="Hlavic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9406"/>
    </w:tblGrid>
    <w:tr>
      <w:tblPrEx>
        <w:tblW w:w="5000" w:type="pct"/>
      </w:tblPrEx>
      <w:tc>
        <w:tcPr/>
        <w:p>
          <w:pPr>
            <w:pStyle w:val="HlavickaZlutyText"/>
            <w:jc w:val="center"/>
          </w:pPr>
        </w:p>
      </w:tc>
    </w:tr>
    <w:tr>
      <w:tblPrEx>
        <w:tblW w:w="5000" w:type="pct"/>
      </w:tblPrEx>
      <w:tc>
        <w:tcPr/>
        <w:p>
          <w:pPr>
            <w:pStyle w:val="Hlavicka"/>
            <w:jc w:val="right"/>
          </w:pPr>
        </w:p>
      </w:tc>
    </w:tr>
  </w:tbl>
  <w:p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evenAndOddHeaders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lavicka">
    <w:name w:val="Hlavicka"/>
    <w:rPr>
      <w:i/>
      <w:sz w:val="20"/>
    </w:rPr>
  </w:style>
  <w:style w:type="paragraph" w:customStyle="1" w:styleId="HlavickaZlutyText">
    <w:name w:val="HlavickaZlutyText"/>
    <w:rPr>
      <w:i w:val="0"/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konec">
    <w:name w:val="Varianta_konec"/>
    <w:pPr>
      <w:pBdr>
        <w:bottom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start">
    <w:name w:val="Ucinnost_start"/>
    <w:pPr>
      <w:pBdr>
        <w:top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konec">
    <w:name w:val="Ucinnost_konec"/>
    <w:pPr>
      <w:pBdr>
        <w:bottom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Celex">
    <w:name w:val="Celex"/>
    <w:pPr>
      <w:spacing w:before="120" w:after="120"/>
      <w:jc w:val="left"/>
    </w:pPr>
    <w:rPr>
      <w:rFonts w:ascii="Times New Roman" w:eastAsia="Times New Roman" w:hAnsi="Times New Roman" w:cs="Times New Roman"/>
      <w:i/>
      <w:sz w:val="20"/>
    </w:rPr>
  </w:style>
  <w:style w:type="paragraph" w:customStyle="1" w:styleId="Pripominkystart">
    <w:name w:val="Pripominky_start"/>
    <w:pPr>
      <w:pBdr>
        <w:top w:val="single" w:sz="8" w:space="0" w:color="87CEFA"/>
      </w:pBdr>
      <w:spacing w:before="0" w:after="10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">
    <w:name w:val="1"/>
    <w:pPr>
      <w:spacing w:before="11" w:after="0"/>
      <w:ind w:right="0"/>
      <w:jc w:val="left"/>
    </w:pPr>
    <w:rPr>
      <w:rFonts w:ascii="Times New Roman" w:eastAsia="Times New Roman" w:hAnsi="Times New Roman" w:cs="Times New Roman"/>
      <w:sz w:val="0"/>
    </w:rPr>
  </w:style>
  <w:style w:type="paragraph" w:customStyle="1" w:styleId="2">
    <w:name w:val="2"/>
    <w:pPr>
      <w:spacing w:before="57" w:after="0"/>
      <w:ind w:right="227"/>
      <w:jc w:val="right"/>
    </w:pPr>
    <w:rPr>
      <w:rFonts w:ascii="Times New Roman" w:eastAsia="Times New Roman" w:hAnsi="Times New Roman" w:cs="Times New Roman"/>
      <w:b/>
      <w:sz w:val="40"/>
    </w:rPr>
  </w:style>
  <w:style w:type="paragraph" w:customStyle="1" w:styleId="3">
    <w:name w:val="3"/>
    <w:pPr>
      <w:spacing w:before="0" w:after="340"/>
      <w:ind w:left="680" w:right="680"/>
      <w:jc w:val="center"/>
    </w:pPr>
    <w:rPr>
      <w:rFonts w:ascii="Times New Roman" w:eastAsia="Times New Roman" w:hAnsi="Times New Roman" w:cs="Times New Roman"/>
      <w:b/>
      <w:sz w:val="44"/>
    </w:rPr>
  </w:style>
  <w:style w:type="paragraph" w:customStyle="1" w:styleId="4">
    <w:name w:val="4"/>
    <w:pPr>
      <w:spacing w:before="340" w:after="113"/>
      <w:ind w:left="850" w:right="850"/>
      <w:jc w:val="center"/>
    </w:pPr>
    <w:rPr>
      <w:rFonts w:ascii="Times New Roman" w:eastAsia="Times New Roman" w:hAnsi="Times New Roman" w:cs="Times New Roman"/>
      <w:b/>
      <w:sz w:val="34"/>
    </w:rPr>
  </w:style>
  <w:style w:type="paragraph" w:customStyle="1" w:styleId="5">
    <w:name w:val="5"/>
    <w:pPr>
      <w:spacing w:before="0" w:after="113"/>
      <w:ind w:right="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6">
    <w:name w:val="6"/>
    <w:pPr>
      <w:spacing w:before="113" w:after="113"/>
      <w:ind w:right="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7">
    <w:name w:val="7"/>
    <w:pPr>
      <w:spacing w:before="113" w:after="57"/>
      <w:ind w:right="0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2026-0163-001-TVO-1</dc:title>
  <dc:creator>e-Legislativa</dc:creator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relationId">
    <vt:lpwstr>621a4030-a9a8-4509-86aa-556fed72a3f5:2126</vt:lpwstr>
  </property>
  <property fmtid="{D5CDD505-2E9C-101B-9397-08002B2CF9AE}" pid="3" name="IdPodprostoru">
    <vt:lpwstr>206327</vt:lpwstr>
  </property>
  <property fmtid="{D5CDD505-2E9C-101B-9397-08002B2CF9AE}" pid="4" name="JeUzavrena">
    <vt:lpwstr>True</vt:lpwstr>
  </property>
  <property fmtid="{D5CDD505-2E9C-101B-9397-08002B2CF9AE}" pid="5" name="PozadavekId">
    <vt:lpwstr>fd9aa946-7b17-4be7-875e-8706d2356133</vt:lpwstr>
  </property>
  <property fmtid="{D5CDD505-2E9C-101B-9397-08002B2CF9AE}" pid="6" name="Verze aplikace">
    <vt:lpwstr>v1.0-07.35.HF4</vt:lpwstr>
  </property>
  <property fmtid="{D5CDD505-2E9C-101B-9397-08002B2CF9AE}" pid="7" name="VrstvaNavrhuId">
    <vt:lpwstr>185579</vt:lpwstr>
  </property>
  <property fmtid="{D5CDD505-2E9C-101B-9397-08002B2CF9AE}" pid="8" name="VrstvaObsahuId">
    <vt:lpwstr>83698</vt:lpwstr>
  </property>
</Properties>
</file>