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 w:rsidR="00A77B3E"/>
    <w:p w:rsidR="00A77B3E">
      <w:pPr>
        <w:pStyle w:val="1"/>
      </w:pPr>
    </w:p>
    <w:p w:rsidR="00A77B3E">
      <w:pPr>
        <w:pStyle w:val="2"/>
      </w:pPr>
    </w:p>
    <w:p w:rsidR="00A77B3E">
      <w:pPr>
        <w:pStyle w:val="3"/>
      </w:pPr>
      <w:r>
        <w:t>VI.</w:t>
      </w:r>
    </w:p>
    <w:p w:rsidR="00A77B3E">
      <w:pPr>
        <w:pStyle w:val="2"/>
      </w:pPr>
    </w:p>
    <w:p w:rsidR="00A77B3E">
      <w:pPr>
        <w:pStyle w:val="4"/>
      </w:pPr>
      <w:r>
        <w:t>Informativní přehled veřejnoprávních povinností</w:t>
      </w:r>
    </w:p>
    <w:p w:rsidR="00A77B3E">
      <w:pPr>
        <w:pStyle w:val="5"/>
      </w:pPr>
      <w:r>
        <w:t>Návrh nařízení vlády, kterým se mění nařízení vlády č. 417/2025 Sb., k provedení zákona o jednotném měsíčním hlášení zaměstnavatele</w:t>
      </w:r>
    </w:p>
    <w:p w:rsidR="00A77B3E">
      <w:pPr>
        <w:pStyle w:val="6"/>
      </w:pPr>
      <w:r>
        <w:t>Nebyla zadána žádná veřejnoprávní povinnost.</w:t>
      </w:r>
    </w:p>
    <w:p w:rsidR="00A77B3E">
      <w:pPr>
        <w:pStyle w:val="5"/>
      </w:pPr>
      <w:r>
        <w:t>Informativní přehled veřejnoprávních povinností vyplývajících z nařízení vlády č. 417/2025 Sb., ve znění návrhu č. 2026-0163:</w:t>
      </w:r>
    </w:p>
    <w:p w:rsidR="00A77B3E">
      <w:pPr>
        <w:pStyle w:val="6"/>
      </w:pPr>
      <w:r>
        <w:t>Nebyla zadána žádná veřejnoprávní povinnost.</w:t>
      </w:r>
    </w:p>
    <w:sectPr>
      <w:headerReference w:type="even" r:id="rId4"/>
      <w:headerReference w:type="default" r:id="rId5"/>
      <w:headerReference w:type="first" r:id="rId6"/>
      <w:pgSz w:w="12240" w:h="15840"/>
      <w:pgMar w:top="1417" w:right="1417" w:bottom="1417" w:left="1417" w:header="400" w:footer="708" w:gutter="0"/>
      <w:pgNumType w:start="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1881"/>
      <w:gridCol w:w="2822"/>
      <w:gridCol w:w="2822"/>
      <w:gridCol w:w="1881"/>
    </w:tblGrid>
    <w:tr>
      <w:tblPrEx>
        <w:tblW w:w="5000" w:type="pct"/>
      </w:tblPrEx>
      <w:tc>
        <w:tcPr>
          <w:gridSpan w:val="4"/>
        </w:tcPr>
        <w:p>
          <w:pPr>
            <w:pStyle w:val="HlavickaZlutyText"/>
            <w:jc w:val="center"/>
          </w:pPr>
        </w:p>
      </w:tc>
    </w:tr>
    <w:tr>
      <w:tblPrEx>
        <w:tblW w:w="5000" w:type="pct"/>
        <w:tblBorders>
          <w:bottom w:val="single" w:sz="12" w:space="0" w:color="000000"/>
        </w:tblBorders>
      </w:tblPrEx>
      <w:tc>
        <w:tcPr>
          <w:tcW w:w="1000" w:type="pct"/>
        </w:tcPr>
        <w:p>
          <w:pPr>
            <w:pStyle w:val="Hlavicka"/>
            <w:jc w:val="left"/>
          </w:pPr>
          <w:r>
            <w:t xml:space="preserve">strana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  <w:tc>
        <w:tcPr>
          <w:tcW w:w="3000" w:type="pct"/>
          <w:gridSpan w:val="2"/>
        </w:tcPr>
        <w:p>
          <w:pPr>
            <w:pStyle w:val="Hlavicka"/>
            <w:jc w:val="center"/>
          </w:pPr>
          <w:r>
            <w:t>Informativní přehled veřejnoprávních povinností</w:t>
          </w:r>
        </w:p>
      </w:tc>
      <w:tc>
        <w:tcPr>
          <w:tcW w:w="1000" w:type="pct"/>
        </w:tcPr>
        <w:p>
          <w:pPr>
            <w:pStyle w:val="Hlavicka"/>
            <w:jc w:val="right"/>
          </w:pPr>
        </w:p>
      </w:tc>
    </w:tr>
    <w:tr>
      <w:tblPrEx>
        <w:tblW w:w="5000" w:type="pct"/>
      </w:tblPrEx>
      <w:tc>
        <w:tcPr>
          <w:tcW w:w="2500" w:type="pct"/>
          <w:gridSpan w:val="2"/>
        </w:tcPr>
        <w:p>
          <w:pPr>
            <w:pStyle w:val="Hlavicka"/>
            <w:jc w:val="left"/>
          </w:pPr>
          <w:r>
            <w:t>Uzavřená verze: 2026-0163-001-TVO</w:t>
          </w:r>
        </w:p>
      </w:tc>
      <w:tc>
        <w:tcPr>
          <w:tcW w:w="2500" w:type="pct"/>
          <w:gridSpan w:val="2"/>
        </w:tcPr>
        <w:p>
          <w:pPr>
            <w:pStyle w:val="Hlavicka"/>
            <w:jc w:val="right"/>
          </w:pPr>
        </w:p>
      </w:tc>
    </w:tr>
  </w:tbl>
  <w:p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1881"/>
      <w:gridCol w:w="2822"/>
      <w:gridCol w:w="2822"/>
      <w:gridCol w:w="1881"/>
    </w:tblGrid>
    <w:tr>
      <w:tblPrEx>
        <w:tblW w:w="5000" w:type="pct"/>
      </w:tblPrEx>
      <w:tc>
        <w:tcPr>
          <w:tcW w:w="2500" w:type="pct"/>
          <w:gridSpan w:val="4"/>
        </w:tcPr>
        <w:p>
          <w:pPr>
            <w:pStyle w:val="HlavickaZlutyText"/>
            <w:jc w:val="center"/>
          </w:pPr>
        </w:p>
      </w:tc>
    </w:tr>
    <w:tr>
      <w:tblPrEx>
        <w:tblW w:w="5000" w:type="pct"/>
        <w:tblBorders>
          <w:bottom w:val="single" w:sz="12" w:space="0" w:color="000000"/>
        </w:tblBorders>
      </w:tblPrEx>
      <w:tc>
        <w:tcPr>
          <w:tcW w:w="1000" w:type="pct"/>
        </w:tcPr>
        <w:p>
          <w:pPr>
            <w:pStyle w:val="Hlavicka"/>
            <w:jc w:val="left"/>
          </w:pPr>
        </w:p>
      </w:tc>
      <w:tc>
        <w:tcPr>
          <w:tcW w:w="3000" w:type="pct"/>
          <w:gridSpan w:val="2"/>
        </w:tcPr>
        <w:p>
          <w:pPr>
            <w:pStyle w:val="Hlavicka"/>
            <w:jc w:val="center"/>
          </w:pPr>
          <w:r>
            <w:t>Informativní přehled veřejnoprávních povinností</w:t>
          </w:r>
        </w:p>
      </w:tc>
      <w:tc>
        <w:tcPr>
          <w:tcW w:w="1000" w:type="pct"/>
        </w:tcPr>
        <w:p>
          <w:pPr>
            <w:pStyle w:val="Hlavicka"/>
            <w:jc w:val="right"/>
          </w:pPr>
          <w:r>
            <w:t xml:space="preserve">strana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  <w:tr>
      <w:tblPrEx>
        <w:tblW w:w="5000" w:type="pct"/>
      </w:tblPrEx>
      <w:tc>
        <w:tcPr>
          <w:tcW w:w="2500" w:type="pct"/>
          <w:gridSpan w:val="2"/>
        </w:tcPr>
        <w:p>
          <w:pPr>
            <w:pStyle w:val="Hlavicka"/>
            <w:jc w:val="left"/>
          </w:pPr>
        </w:p>
      </w:tc>
      <w:tc>
        <w:tcPr>
          <w:tcW w:w="2500" w:type="pct"/>
          <w:gridSpan w:val="2"/>
        </w:tcPr>
        <w:p>
          <w:pPr>
            <w:pStyle w:val="Hlavicka"/>
            <w:jc w:val="right"/>
          </w:pPr>
          <w:r>
            <w:t>Uzavřená verze: 2026-0163-001-TVO</w:t>
          </w:r>
        </w:p>
      </w:tc>
    </w:tr>
  </w:tbl>
  <w:p>
    <w:pPr>
      <w:pStyle w:val="Hlavic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9406"/>
    </w:tblGrid>
    <w:tr>
      <w:tblPrEx>
        <w:tblW w:w="5000" w:type="pct"/>
      </w:tblPrEx>
      <w:tc>
        <w:tcPr/>
        <w:p>
          <w:pPr>
            <w:pStyle w:val="HlavickaZlutyText"/>
            <w:jc w:val="center"/>
          </w:pPr>
        </w:p>
      </w:tc>
    </w:tr>
    <w:tr>
      <w:tblPrEx>
        <w:tblW w:w="5000" w:type="pct"/>
      </w:tblPrEx>
      <w:tc>
        <w:tcPr/>
        <w:p>
          <w:pPr>
            <w:pStyle w:val="Hlavicka"/>
            <w:jc w:val="right"/>
          </w:pPr>
        </w:p>
      </w:tc>
    </w:tr>
  </w:tbl>
  <w:p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evenAndOddHeaders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lavicka">
    <w:name w:val="Hlavicka"/>
    <w:rPr>
      <w:i/>
      <w:sz w:val="20"/>
    </w:rPr>
  </w:style>
  <w:style w:type="paragraph" w:customStyle="1" w:styleId="HlavickaZlutyText">
    <w:name w:val="HlavickaZlutyText"/>
    <w:rPr>
      <w:i w:val="0"/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konec">
    <w:name w:val="Varianta_konec"/>
    <w:pPr>
      <w:pBdr>
        <w:bottom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start">
    <w:name w:val="Ucinnost_start"/>
    <w:pPr>
      <w:pBdr>
        <w:top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konec">
    <w:name w:val="Ucinnost_konec"/>
    <w:pPr>
      <w:pBdr>
        <w:bottom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Celex">
    <w:name w:val="Celex"/>
    <w:pPr>
      <w:spacing w:before="120" w:after="120"/>
      <w:jc w:val="left"/>
    </w:pPr>
    <w:rPr>
      <w:rFonts w:ascii="Times New Roman" w:eastAsia="Times New Roman" w:hAnsi="Times New Roman" w:cs="Times New Roman"/>
      <w:i/>
      <w:sz w:val="20"/>
    </w:rPr>
  </w:style>
  <w:style w:type="paragraph" w:customStyle="1" w:styleId="Pripominkystart">
    <w:name w:val="Pripominky_start"/>
    <w:pPr>
      <w:pBdr>
        <w:top w:val="single" w:sz="8" w:space="0" w:color="87CEFA"/>
      </w:pBdr>
      <w:spacing w:before="0" w:after="10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">
    <w:name w:val="1"/>
    <w:pPr>
      <w:spacing w:before="11" w:after="0"/>
      <w:ind w:right="0"/>
      <w:jc w:val="left"/>
    </w:pPr>
    <w:rPr>
      <w:rFonts w:ascii="Times New Roman" w:eastAsia="Times New Roman" w:hAnsi="Times New Roman" w:cs="Times New Roman"/>
      <w:sz w:val="0"/>
    </w:rPr>
  </w:style>
  <w:style w:type="paragraph" w:customStyle="1" w:styleId="2">
    <w:name w:val="2"/>
    <w:pPr>
      <w:spacing w:before="11" w:after="0"/>
      <w:ind w:right="0"/>
      <w:jc w:val="left"/>
    </w:pPr>
    <w:rPr>
      <w:rFonts w:ascii="Times New Roman" w:eastAsia="Times New Roman" w:hAnsi="Times New Roman" w:cs="Times New Roman"/>
      <w:sz w:val="0"/>
    </w:rPr>
  </w:style>
  <w:style w:type="paragraph" w:customStyle="1" w:styleId="3">
    <w:name w:val="3"/>
    <w:pPr>
      <w:spacing w:before="57" w:after="0"/>
      <w:ind w:right="227"/>
      <w:jc w:val="right"/>
    </w:pPr>
    <w:rPr>
      <w:rFonts w:ascii="Times New Roman" w:eastAsia="Times New Roman" w:hAnsi="Times New Roman" w:cs="Times New Roman"/>
      <w:b/>
      <w:sz w:val="40"/>
    </w:rPr>
  </w:style>
  <w:style w:type="paragraph" w:customStyle="1" w:styleId="4">
    <w:name w:val="4"/>
    <w:pPr>
      <w:spacing w:before="0" w:after="340"/>
      <w:ind w:left="680" w:right="680"/>
      <w:jc w:val="center"/>
    </w:pPr>
    <w:rPr>
      <w:rFonts w:ascii="Times New Roman" w:eastAsia="Times New Roman" w:hAnsi="Times New Roman" w:cs="Times New Roman"/>
      <w:b/>
      <w:sz w:val="44"/>
    </w:rPr>
  </w:style>
  <w:style w:type="paragraph" w:customStyle="1" w:styleId="5">
    <w:name w:val="5"/>
    <w:pPr>
      <w:spacing w:before="340" w:after="113"/>
      <w:ind w:left="850" w:right="850"/>
      <w:jc w:val="center"/>
    </w:pPr>
    <w:rPr>
      <w:rFonts w:ascii="Times New Roman" w:eastAsia="Times New Roman" w:hAnsi="Times New Roman" w:cs="Times New Roman"/>
      <w:b/>
      <w:sz w:val="34"/>
    </w:rPr>
  </w:style>
  <w:style w:type="paragraph" w:customStyle="1" w:styleId="6">
    <w:name w:val="6"/>
    <w:pPr>
      <w:spacing w:before="0" w:after="57"/>
      <w:ind w:right="0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2026-0163-001-TVO-1</dc:title>
  <dc:creator>e-Legislativa</dc:creator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relationId">
    <vt:lpwstr>621a4030-a9a8-4509-86aa-556fed72a3f5:2126</vt:lpwstr>
  </property>
  <property fmtid="{D5CDD505-2E9C-101B-9397-08002B2CF9AE}" pid="3" name="IdPodprostoru">
    <vt:lpwstr>206327</vt:lpwstr>
  </property>
  <property fmtid="{D5CDD505-2E9C-101B-9397-08002B2CF9AE}" pid="4" name="JeUzavrena">
    <vt:lpwstr>True</vt:lpwstr>
  </property>
  <property fmtid="{D5CDD505-2E9C-101B-9397-08002B2CF9AE}" pid="5" name="PozadavekId">
    <vt:lpwstr>085684f8-67c8-445d-874e-3b3eeb92e5af</vt:lpwstr>
  </property>
  <property fmtid="{D5CDD505-2E9C-101B-9397-08002B2CF9AE}" pid="6" name="Verze aplikace">
    <vt:lpwstr>v1.0-07.35.HF4</vt:lpwstr>
  </property>
  <property fmtid="{D5CDD505-2E9C-101B-9397-08002B2CF9AE}" pid="7" name="VrstvaNavrhuId">
    <vt:lpwstr>185579</vt:lpwstr>
  </property>
  <property fmtid="{D5CDD505-2E9C-101B-9397-08002B2CF9AE}" pid="8" name="VrstvaObsahuId">
    <vt:lpwstr>83699</vt:lpwstr>
  </property>
</Properties>
</file>