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drawings/drawing1.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5F64E" w14:textId="77777777" w:rsidR="007F5286" w:rsidRDefault="002F10C9" w:rsidP="00092B02">
      <w:pPr>
        <w:tabs>
          <w:tab w:val="left" w:pos="1365"/>
        </w:tabs>
        <w:rPr>
          <w:rFonts w:ascii="Times New Roman" w:eastAsia="Times New Roman" w:hAnsi="Times New Roman"/>
          <w:b/>
          <w:sz w:val="24"/>
          <w:szCs w:val="24"/>
          <w:lang w:eastAsia="cs-CZ"/>
        </w:rPr>
      </w:pPr>
      <w:r>
        <w:rPr>
          <w:noProof/>
          <w:lang w:eastAsia="cs-CZ"/>
        </w:rPr>
        <w:drawing>
          <wp:anchor distT="0" distB="0" distL="114300" distR="114300" simplePos="0" relativeHeight="251660288" behindDoc="1" locked="0" layoutInCell="1" allowOverlap="1" wp14:anchorId="03A77193" wp14:editId="49BCC422">
            <wp:simplePos x="0" y="0"/>
            <wp:positionH relativeFrom="column">
              <wp:posOffset>-547370</wp:posOffset>
            </wp:positionH>
            <wp:positionV relativeFrom="paragraph">
              <wp:posOffset>-4445</wp:posOffset>
            </wp:positionV>
            <wp:extent cx="2775585" cy="1374775"/>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MF-CZ-pozitivni.png"/>
                    <pic:cNvPicPr/>
                  </pic:nvPicPr>
                  <pic:blipFill rotWithShape="1">
                    <a:blip r:embed="rId8" cstate="print">
                      <a:extLst>
                        <a:ext uri="{28A0092B-C50C-407E-A947-70E740481C1C}">
                          <a14:useLocalDpi xmlns:a14="http://schemas.microsoft.com/office/drawing/2010/main" val="0"/>
                        </a:ext>
                      </a:extLst>
                    </a:blip>
                    <a:srcRect t="19774" r="12583" b="19762"/>
                    <a:stretch/>
                  </pic:blipFill>
                  <pic:spPr bwMode="auto">
                    <a:xfrm>
                      <a:off x="0" y="0"/>
                      <a:ext cx="2775585" cy="13747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92B02">
        <w:rPr>
          <w:rFonts w:ascii="Times New Roman" w:eastAsia="Times New Roman" w:hAnsi="Times New Roman"/>
          <w:b/>
          <w:sz w:val="24"/>
          <w:szCs w:val="24"/>
          <w:lang w:eastAsia="cs-CZ"/>
        </w:rPr>
        <w:tab/>
      </w:r>
    </w:p>
    <w:p w14:paraId="1D46F477" w14:textId="305885A7" w:rsidR="00C15E30" w:rsidRPr="00486DDD" w:rsidRDefault="00FA0B46" w:rsidP="007F5286">
      <w:pPr>
        <w:jc w:val="right"/>
        <w:rPr>
          <w:rFonts w:eastAsia="Times New Roman" w:cs="Arial"/>
          <w:sz w:val="20"/>
          <w:szCs w:val="24"/>
          <w:lang w:eastAsia="cs-CZ"/>
        </w:rPr>
      </w:pPr>
      <w:r>
        <w:rPr>
          <w:rFonts w:ascii="Times New Roman" w:eastAsia="Times New Roman" w:hAnsi="Times New Roman"/>
          <w:b/>
          <w:sz w:val="24"/>
          <w:szCs w:val="24"/>
          <w:lang w:eastAsia="cs-CZ"/>
        </w:rPr>
        <w:t xml:space="preserve"> </w:t>
      </w:r>
      <w:r w:rsidR="00486DDD" w:rsidRPr="00486DDD">
        <w:rPr>
          <w:rFonts w:eastAsia="Times New Roman" w:cs="Arial"/>
          <w:sz w:val="20"/>
          <w:szCs w:val="24"/>
          <w:lang w:eastAsia="cs-CZ"/>
        </w:rPr>
        <w:t>MF-25958/2026/3503</w:t>
      </w:r>
    </w:p>
    <w:p w14:paraId="461D42CF" w14:textId="77777777" w:rsidR="001A5E0D" w:rsidRPr="00BC1CD1" w:rsidRDefault="001A5E0D" w:rsidP="001A5E0D">
      <w:pPr>
        <w:spacing w:after="0" w:line="240" w:lineRule="auto"/>
        <w:jc w:val="right"/>
        <w:rPr>
          <w:rFonts w:eastAsia="Times New Roman" w:cs="Arial"/>
          <w:sz w:val="20"/>
          <w:szCs w:val="24"/>
          <w:lang w:eastAsia="cs-CZ"/>
        </w:rPr>
      </w:pPr>
      <w:r w:rsidRPr="00BC1CD1">
        <w:rPr>
          <w:rFonts w:eastAsia="Times New Roman" w:cs="Arial"/>
          <w:sz w:val="20"/>
          <w:szCs w:val="24"/>
          <w:lang w:eastAsia="cs-CZ"/>
        </w:rPr>
        <w:t>Ministerstvo financí ČR</w:t>
      </w:r>
    </w:p>
    <w:p w14:paraId="6B98E746" w14:textId="77777777" w:rsidR="001A5E0D" w:rsidRPr="00BC1CD1" w:rsidRDefault="007E79D6" w:rsidP="001A5E0D">
      <w:pPr>
        <w:spacing w:after="0" w:line="240" w:lineRule="auto"/>
        <w:jc w:val="right"/>
        <w:rPr>
          <w:rFonts w:eastAsia="Times New Roman" w:cs="Arial"/>
          <w:sz w:val="20"/>
          <w:szCs w:val="24"/>
          <w:lang w:eastAsia="cs-CZ"/>
        </w:rPr>
      </w:pPr>
      <w:r w:rsidRPr="00C67F48">
        <w:rPr>
          <w:rFonts w:eastAsia="Times New Roman" w:cs="Arial"/>
          <w:sz w:val="20"/>
          <w:szCs w:val="24"/>
          <w:lang w:eastAsia="cs-CZ"/>
        </w:rPr>
        <w:t>Odbor</w:t>
      </w:r>
      <w:r w:rsidR="00344BBA">
        <w:rPr>
          <w:rFonts w:eastAsia="Times New Roman" w:cs="Arial"/>
          <w:sz w:val="20"/>
          <w:szCs w:val="24"/>
          <w:lang w:eastAsia="cs-CZ"/>
        </w:rPr>
        <w:t>y</w:t>
      </w:r>
      <w:r w:rsidRPr="00C67F48">
        <w:rPr>
          <w:rFonts w:eastAsia="Times New Roman" w:cs="Arial"/>
          <w:sz w:val="20"/>
          <w:szCs w:val="24"/>
          <w:lang w:eastAsia="cs-CZ"/>
        </w:rPr>
        <w:t xml:space="preserve"> </w:t>
      </w:r>
      <w:r w:rsidR="001A5E0D" w:rsidRPr="00C67F48">
        <w:rPr>
          <w:rFonts w:eastAsia="Times New Roman" w:cs="Arial"/>
          <w:sz w:val="20"/>
          <w:szCs w:val="24"/>
          <w:lang w:eastAsia="cs-CZ"/>
        </w:rPr>
        <w:t>Finanční trhy I</w:t>
      </w:r>
      <w:r w:rsidR="00344BBA">
        <w:rPr>
          <w:rFonts w:eastAsia="Times New Roman" w:cs="Arial"/>
          <w:sz w:val="20"/>
          <w:szCs w:val="24"/>
          <w:lang w:eastAsia="cs-CZ"/>
        </w:rPr>
        <w:t xml:space="preserve"> a II</w:t>
      </w:r>
    </w:p>
    <w:p w14:paraId="63ED4DBB" w14:textId="77777777" w:rsidR="001A5E0D" w:rsidRPr="00BC1CD1" w:rsidRDefault="001A5E0D" w:rsidP="001A5E0D">
      <w:pPr>
        <w:spacing w:after="0" w:line="240" w:lineRule="auto"/>
        <w:jc w:val="right"/>
        <w:rPr>
          <w:rFonts w:eastAsia="Times New Roman" w:cs="Arial"/>
          <w:sz w:val="20"/>
          <w:szCs w:val="24"/>
          <w:lang w:eastAsia="cs-CZ"/>
        </w:rPr>
      </w:pPr>
    </w:p>
    <w:p w14:paraId="21CBEEF4" w14:textId="77777777" w:rsidR="001A5E0D" w:rsidRPr="00BC1CD1" w:rsidRDefault="001A5E0D" w:rsidP="001A5E0D">
      <w:pPr>
        <w:spacing w:after="0" w:line="240" w:lineRule="auto"/>
        <w:jc w:val="right"/>
        <w:rPr>
          <w:rFonts w:eastAsia="Times New Roman" w:cs="Arial"/>
          <w:sz w:val="20"/>
          <w:szCs w:val="24"/>
          <w:lang w:eastAsia="cs-CZ"/>
        </w:rPr>
      </w:pPr>
    </w:p>
    <w:p w14:paraId="279ACF53" w14:textId="77777777" w:rsidR="001A5E0D" w:rsidRPr="00BC1CD1" w:rsidRDefault="001A5E0D" w:rsidP="001A5E0D">
      <w:pPr>
        <w:spacing w:after="0" w:line="240" w:lineRule="auto"/>
        <w:jc w:val="right"/>
        <w:rPr>
          <w:rFonts w:eastAsia="Times New Roman" w:cs="Arial"/>
          <w:sz w:val="20"/>
          <w:szCs w:val="24"/>
          <w:lang w:eastAsia="cs-CZ"/>
        </w:rPr>
      </w:pPr>
    </w:p>
    <w:p w14:paraId="79105DF8" w14:textId="77777777" w:rsidR="001A5E0D" w:rsidRPr="00BC1CD1" w:rsidRDefault="001A5E0D" w:rsidP="001A5E0D">
      <w:pPr>
        <w:keepNext/>
        <w:spacing w:after="0" w:line="24" w:lineRule="atLeast"/>
        <w:rPr>
          <w:rFonts w:eastAsia="Times New Roman" w:cs="Arial"/>
          <w:b/>
          <w:bCs/>
          <w:sz w:val="24"/>
          <w:szCs w:val="24"/>
          <w:lang w:eastAsia="cs-CZ"/>
        </w:rPr>
      </w:pPr>
    </w:p>
    <w:p w14:paraId="03F1E37D" w14:textId="77777777" w:rsidR="001A5E0D" w:rsidRPr="00BC1CD1" w:rsidRDefault="001A5E0D" w:rsidP="001A5E0D">
      <w:pPr>
        <w:keepNext/>
        <w:spacing w:after="0" w:line="24" w:lineRule="atLeast"/>
        <w:jc w:val="center"/>
        <w:rPr>
          <w:rFonts w:eastAsia="Times New Roman" w:cs="Arial"/>
          <w:b/>
          <w:bCs/>
          <w:sz w:val="24"/>
          <w:szCs w:val="24"/>
          <w:lang w:eastAsia="cs-CZ"/>
        </w:rPr>
      </w:pPr>
    </w:p>
    <w:p w14:paraId="71B0F791" w14:textId="77777777" w:rsidR="001A5E0D" w:rsidRDefault="001A5E0D" w:rsidP="001A5E0D">
      <w:pPr>
        <w:keepNext/>
        <w:spacing w:after="0" w:line="24" w:lineRule="atLeast"/>
        <w:jc w:val="center"/>
        <w:rPr>
          <w:rFonts w:eastAsia="Times New Roman" w:cs="Arial"/>
          <w:b/>
          <w:bCs/>
          <w:sz w:val="24"/>
          <w:szCs w:val="24"/>
          <w:lang w:eastAsia="cs-CZ"/>
        </w:rPr>
      </w:pPr>
    </w:p>
    <w:p w14:paraId="2D16689E" w14:textId="77777777" w:rsidR="00092B02" w:rsidRDefault="00092B02" w:rsidP="001A5E0D">
      <w:pPr>
        <w:keepNext/>
        <w:spacing w:after="0" w:line="24" w:lineRule="atLeast"/>
        <w:jc w:val="center"/>
        <w:rPr>
          <w:rFonts w:eastAsia="Times New Roman" w:cs="Arial"/>
          <w:b/>
          <w:bCs/>
          <w:sz w:val="24"/>
          <w:szCs w:val="24"/>
          <w:lang w:eastAsia="cs-CZ"/>
        </w:rPr>
      </w:pPr>
    </w:p>
    <w:p w14:paraId="4FB84173" w14:textId="77777777" w:rsidR="00092B02" w:rsidRDefault="00092B02" w:rsidP="001A5E0D">
      <w:pPr>
        <w:keepNext/>
        <w:spacing w:after="0" w:line="24" w:lineRule="atLeast"/>
        <w:jc w:val="center"/>
        <w:rPr>
          <w:rFonts w:eastAsia="Times New Roman" w:cs="Arial"/>
          <w:b/>
          <w:bCs/>
          <w:sz w:val="24"/>
          <w:szCs w:val="24"/>
          <w:lang w:eastAsia="cs-CZ"/>
        </w:rPr>
      </w:pPr>
    </w:p>
    <w:p w14:paraId="6AB3C0A0" w14:textId="77777777" w:rsidR="00092B02" w:rsidRDefault="00092B02" w:rsidP="001A5E0D">
      <w:pPr>
        <w:keepNext/>
        <w:spacing w:after="0" w:line="24" w:lineRule="atLeast"/>
        <w:jc w:val="center"/>
        <w:rPr>
          <w:rFonts w:eastAsia="Times New Roman" w:cs="Arial"/>
          <w:b/>
          <w:bCs/>
          <w:sz w:val="24"/>
          <w:szCs w:val="24"/>
          <w:lang w:eastAsia="cs-CZ"/>
        </w:rPr>
      </w:pPr>
    </w:p>
    <w:p w14:paraId="0CF1B0E4" w14:textId="77777777" w:rsidR="00092B02" w:rsidRDefault="00092B02" w:rsidP="001A5E0D">
      <w:pPr>
        <w:keepNext/>
        <w:spacing w:after="0" w:line="24" w:lineRule="atLeast"/>
        <w:jc w:val="center"/>
        <w:rPr>
          <w:rFonts w:eastAsia="Times New Roman" w:cs="Arial"/>
          <w:b/>
          <w:bCs/>
          <w:sz w:val="24"/>
          <w:szCs w:val="24"/>
          <w:lang w:eastAsia="cs-CZ"/>
        </w:rPr>
      </w:pPr>
    </w:p>
    <w:p w14:paraId="2F1BCA7C" w14:textId="77777777" w:rsidR="00092B02" w:rsidRDefault="00092B02" w:rsidP="001A5E0D">
      <w:pPr>
        <w:keepNext/>
        <w:spacing w:after="0" w:line="24" w:lineRule="atLeast"/>
        <w:jc w:val="center"/>
        <w:rPr>
          <w:rFonts w:eastAsia="Times New Roman" w:cs="Arial"/>
          <w:b/>
          <w:bCs/>
          <w:sz w:val="24"/>
          <w:szCs w:val="24"/>
          <w:lang w:eastAsia="cs-CZ"/>
        </w:rPr>
      </w:pPr>
    </w:p>
    <w:p w14:paraId="5833BE9A" w14:textId="77777777" w:rsidR="00092B02" w:rsidRDefault="00092B02" w:rsidP="001A5E0D">
      <w:pPr>
        <w:keepNext/>
        <w:spacing w:after="0" w:line="24" w:lineRule="atLeast"/>
        <w:jc w:val="center"/>
        <w:rPr>
          <w:rFonts w:eastAsia="Times New Roman" w:cs="Arial"/>
          <w:b/>
          <w:bCs/>
          <w:sz w:val="24"/>
          <w:szCs w:val="24"/>
          <w:lang w:eastAsia="cs-CZ"/>
        </w:rPr>
      </w:pPr>
    </w:p>
    <w:p w14:paraId="542405B1" w14:textId="77777777" w:rsidR="00092B02" w:rsidRDefault="00092B02" w:rsidP="001A5E0D">
      <w:pPr>
        <w:keepNext/>
        <w:spacing w:after="0" w:line="24" w:lineRule="atLeast"/>
        <w:jc w:val="center"/>
        <w:rPr>
          <w:rFonts w:eastAsia="Times New Roman" w:cs="Arial"/>
          <w:b/>
          <w:bCs/>
          <w:sz w:val="24"/>
          <w:szCs w:val="24"/>
          <w:lang w:eastAsia="cs-CZ"/>
        </w:rPr>
      </w:pPr>
    </w:p>
    <w:p w14:paraId="04FB38C9" w14:textId="77777777" w:rsidR="001A5E0D" w:rsidRDefault="001A5E0D" w:rsidP="001A5E0D">
      <w:pPr>
        <w:keepNext/>
        <w:spacing w:after="0" w:line="24" w:lineRule="atLeast"/>
        <w:jc w:val="center"/>
        <w:rPr>
          <w:rFonts w:ascii="Arial" w:eastAsia="Times New Roman" w:hAnsi="Arial" w:cs="Arial"/>
          <w:b/>
          <w:bCs/>
          <w:sz w:val="24"/>
          <w:szCs w:val="24"/>
          <w:lang w:eastAsia="cs-CZ"/>
        </w:rPr>
      </w:pPr>
    </w:p>
    <w:p w14:paraId="34BE368F" w14:textId="77777777" w:rsidR="001A5E0D" w:rsidRPr="00213D9B" w:rsidRDefault="001A5E0D" w:rsidP="001A5E0D">
      <w:pPr>
        <w:keepNext/>
        <w:spacing w:after="0" w:line="24" w:lineRule="atLeast"/>
        <w:jc w:val="center"/>
        <w:rPr>
          <w:rFonts w:ascii="Arial" w:eastAsia="Times New Roman" w:hAnsi="Arial" w:cs="Arial"/>
          <w:b/>
          <w:bCs/>
          <w:sz w:val="20"/>
          <w:szCs w:val="24"/>
          <w:lang w:eastAsia="cs-CZ"/>
        </w:rPr>
      </w:pPr>
    </w:p>
    <w:p w14:paraId="003FE6FE" w14:textId="77777777" w:rsidR="001A5E0D" w:rsidRPr="00213D9B" w:rsidRDefault="001A5E0D" w:rsidP="001A5E0D">
      <w:pPr>
        <w:spacing w:after="0" w:line="240" w:lineRule="auto"/>
        <w:jc w:val="both"/>
        <w:rPr>
          <w:rFonts w:ascii="Arial" w:eastAsia="Times New Roman" w:hAnsi="Arial" w:cs="Arial"/>
          <w:sz w:val="16"/>
          <w:szCs w:val="24"/>
          <w:lang w:eastAsia="cs-CZ"/>
        </w:rPr>
      </w:pPr>
    </w:p>
    <w:p w14:paraId="2E8D45FD" w14:textId="77777777" w:rsidR="00E01D97" w:rsidRPr="00213D9B" w:rsidRDefault="001A5E0D" w:rsidP="001E2C66">
      <w:pPr>
        <w:pBdr>
          <w:top w:val="single" w:sz="18" w:space="0" w:color="auto"/>
          <w:bottom w:val="single" w:sz="18" w:space="5" w:color="auto"/>
        </w:pBdr>
        <w:spacing w:after="0" w:line="240" w:lineRule="auto"/>
        <w:jc w:val="center"/>
        <w:rPr>
          <w:rFonts w:eastAsia="Times New Roman" w:cs="Arial"/>
          <w:b/>
          <w:bCs/>
          <w:sz w:val="36"/>
          <w:szCs w:val="20"/>
          <w:lang w:eastAsia="cs-CZ"/>
        </w:rPr>
      </w:pPr>
      <w:r w:rsidRPr="00213D9B">
        <w:rPr>
          <w:rFonts w:eastAsia="Times New Roman" w:cs="Arial"/>
          <w:b/>
          <w:bCs/>
          <w:sz w:val="36"/>
          <w:szCs w:val="20"/>
          <w:lang w:eastAsia="cs-CZ"/>
        </w:rPr>
        <w:t xml:space="preserve">Závěrečná zpráva z hodnocení dopadů </w:t>
      </w:r>
    </w:p>
    <w:p w14:paraId="7CC2B8B9" w14:textId="77777777" w:rsidR="009A6A37" w:rsidRPr="00213D9B" w:rsidRDefault="00566394" w:rsidP="001E2C66">
      <w:pPr>
        <w:pBdr>
          <w:top w:val="single" w:sz="18" w:space="0" w:color="auto"/>
          <w:bottom w:val="single" w:sz="18" w:space="5" w:color="auto"/>
        </w:pBdr>
        <w:spacing w:after="0" w:line="240" w:lineRule="auto"/>
        <w:jc w:val="center"/>
        <w:rPr>
          <w:rFonts w:eastAsia="Times New Roman" w:cs="Arial"/>
          <w:bCs/>
          <w:sz w:val="36"/>
          <w:szCs w:val="36"/>
          <w:lang w:eastAsia="cs-CZ"/>
        </w:rPr>
      </w:pPr>
      <w:r w:rsidRPr="00213D9B">
        <w:rPr>
          <w:rFonts w:eastAsia="Times New Roman" w:cs="Arial"/>
          <w:bCs/>
          <w:sz w:val="36"/>
          <w:szCs w:val="36"/>
          <w:lang w:eastAsia="cs-CZ"/>
        </w:rPr>
        <w:t xml:space="preserve">návrhu </w:t>
      </w:r>
      <w:r w:rsidR="001A5E0D" w:rsidRPr="00213D9B">
        <w:rPr>
          <w:rFonts w:eastAsia="Times New Roman" w:cs="Arial"/>
          <w:bCs/>
          <w:sz w:val="36"/>
          <w:szCs w:val="36"/>
          <w:lang w:eastAsia="cs-CZ"/>
        </w:rPr>
        <w:t>zákona</w:t>
      </w:r>
      <w:r w:rsidRPr="00213D9B">
        <w:rPr>
          <w:rFonts w:eastAsia="Times New Roman" w:cs="Arial"/>
          <w:bCs/>
          <w:sz w:val="36"/>
          <w:szCs w:val="36"/>
          <w:lang w:eastAsia="cs-CZ"/>
        </w:rPr>
        <w:t>, kterým se mění zákon č. 427/2011 Sb., o</w:t>
      </w:r>
      <w:r w:rsidR="00E7366B">
        <w:rPr>
          <w:rFonts w:eastAsia="Times New Roman" w:cs="Arial"/>
          <w:bCs/>
          <w:sz w:val="36"/>
          <w:szCs w:val="36"/>
          <w:lang w:eastAsia="cs-CZ"/>
        </w:rPr>
        <w:t> </w:t>
      </w:r>
      <w:r w:rsidRPr="00213D9B">
        <w:rPr>
          <w:rFonts w:eastAsia="Times New Roman" w:cs="Arial"/>
          <w:bCs/>
          <w:sz w:val="36"/>
          <w:szCs w:val="36"/>
          <w:lang w:eastAsia="cs-CZ"/>
        </w:rPr>
        <w:t xml:space="preserve">doplňkovém </w:t>
      </w:r>
      <w:r w:rsidR="002F10C9" w:rsidRPr="00213D9B">
        <w:rPr>
          <w:rFonts w:eastAsia="Times New Roman" w:cs="Arial"/>
          <w:bCs/>
          <w:sz w:val="36"/>
          <w:szCs w:val="36"/>
          <w:lang w:eastAsia="cs-CZ"/>
        </w:rPr>
        <w:t>penzijním spoření, ve </w:t>
      </w:r>
      <w:r w:rsidRPr="00213D9B">
        <w:rPr>
          <w:rFonts w:eastAsia="Times New Roman" w:cs="Arial"/>
          <w:bCs/>
          <w:sz w:val="36"/>
          <w:szCs w:val="36"/>
          <w:lang w:eastAsia="cs-CZ"/>
        </w:rPr>
        <w:t>znění pozdějších předpisů</w:t>
      </w:r>
      <w:r w:rsidR="0037568F" w:rsidRPr="0037568F">
        <w:rPr>
          <w:rFonts w:eastAsia="Times New Roman" w:cs="Arial"/>
          <w:bCs/>
          <w:sz w:val="36"/>
          <w:szCs w:val="36"/>
          <w:lang w:eastAsia="cs-CZ"/>
        </w:rPr>
        <w:t>, a další související zákony</w:t>
      </w:r>
    </w:p>
    <w:p w14:paraId="55359A2D" w14:textId="713A62AA" w:rsidR="00D73F75" w:rsidRPr="00B23693" w:rsidRDefault="00FD5A46" w:rsidP="002F10C9">
      <w:pPr>
        <w:tabs>
          <w:tab w:val="left" w:pos="2076"/>
        </w:tabs>
        <w:spacing w:before="5400" w:after="0" w:line="240" w:lineRule="auto"/>
        <w:jc w:val="center"/>
        <w:rPr>
          <w:rFonts w:ascii="Arial" w:eastAsia="Times New Roman" w:hAnsi="Arial" w:cs="Arial"/>
          <w:b/>
          <w:bCs/>
          <w:sz w:val="20"/>
          <w:szCs w:val="20"/>
        </w:rPr>
      </w:pPr>
      <w:bookmarkStart w:id="0" w:name="_Toc403139868"/>
      <w:r>
        <w:rPr>
          <w:b/>
          <w:sz w:val="28"/>
        </w:rPr>
        <w:t>Červe</w:t>
      </w:r>
      <w:r w:rsidR="00406FCE" w:rsidRPr="00B15833">
        <w:rPr>
          <w:b/>
          <w:sz w:val="28"/>
        </w:rPr>
        <w:t>n</w:t>
      </w:r>
      <w:r w:rsidR="00C15E30" w:rsidRPr="00B15833">
        <w:rPr>
          <w:b/>
          <w:sz w:val="28"/>
        </w:rPr>
        <w:t xml:space="preserve"> 20</w:t>
      </w:r>
      <w:bookmarkStart w:id="1" w:name="_Toc4587305"/>
      <w:bookmarkStart w:id="2" w:name="_Toc8730931"/>
      <w:r w:rsidR="00406FCE" w:rsidRPr="00B15833">
        <w:rPr>
          <w:b/>
          <w:sz w:val="28"/>
        </w:rPr>
        <w:t>26</w:t>
      </w:r>
    </w:p>
    <w:p w14:paraId="04688BB0" w14:textId="77777777" w:rsidR="001A5E0D" w:rsidRPr="006446EF" w:rsidRDefault="009D102B" w:rsidP="00AC011E">
      <w:pPr>
        <w:pStyle w:val="Nadpis1"/>
        <w:numPr>
          <w:ilvl w:val="0"/>
          <w:numId w:val="0"/>
        </w:numPr>
        <w:ind w:left="357" w:hanging="357"/>
        <w:contextualSpacing/>
        <w:jc w:val="center"/>
        <w:rPr>
          <w:caps/>
        </w:rPr>
      </w:pPr>
      <w:bookmarkStart w:id="3" w:name="_Toc11764008"/>
      <w:r>
        <w:rPr>
          <w:caps/>
        </w:rPr>
        <w:br w:type="page"/>
      </w:r>
      <w:bookmarkStart w:id="4" w:name="_Toc418509329"/>
      <w:bookmarkStart w:id="5" w:name="_Toc418511036"/>
      <w:bookmarkStart w:id="6" w:name="_Toc418511453"/>
      <w:bookmarkStart w:id="7" w:name="_Toc423508402"/>
      <w:bookmarkStart w:id="8" w:name="_Toc3289545"/>
      <w:bookmarkStart w:id="9" w:name="_Toc24964550"/>
      <w:bookmarkStart w:id="10" w:name="_Toc190782513"/>
      <w:bookmarkStart w:id="11" w:name="_Toc190782847"/>
      <w:bookmarkStart w:id="12" w:name="_Toc202178958"/>
      <w:bookmarkStart w:id="13" w:name="_Toc227742386"/>
      <w:bookmarkStart w:id="14" w:name="_Toc229662647"/>
      <w:bookmarkStart w:id="15" w:name="_Toc229662924"/>
      <w:bookmarkStart w:id="16" w:name="_Toc230006888"/>
      <w:bookmarkStart w:id="17" w:name="_Toc230599030"/>
      <w:bookmarkStart w:id="18" w:name="_Toc230599524"/>
      <w:bookmarkStart w:id="19" w:name="_Toc231310630"/>
      <w:r w:rsidR="006446EF" w:rsidRPr="006446EF">
        <w:rPr>
          <w:caps/>
        </w:rPr>
        <w:lastRenderedPageBreak/>
        <w:t>Shrnutí závěrečné zprávy RIA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6EF" w:rsidRPr="006446EF">
        <w:rPr>
          <w:caps/>
        </w:rPr>
        <w:t xml:space="preserve"> </w:t>
      </w:r>
      <w:bookmarkEnd w:id="0"/>
    </w:p>
    <w:tbl>
      <w:tblPr>
        <w:tblW w:w="5000" w:type="pct"/>
        <w:tblBorders>
          <w:top w:val="single" w:sz="8" w:space="0" w:color="000000"/>
          <w:left w:val="single" w:sz="8" w:space="0" w:color="000000"/>
          <w:bottom w:val="single" w:sz="8" w:space="0" w:color="000000"/>
          <w:right w:val="single" w:sz="8" w:space="0" w:color="000000"/>
          <w:insideH w:val="single" w:sz="4" w:space="0" w:color="auto"/>
          <w:insideV w:val="single" w:sz="4" w:space="0" w:color="auto"/>
        </w:tblBorders>
        <w:tblCellMar>
          <w:top w:w="57" w:type="dxa"/>
          <w:bottom w:w="57" w:type="dxa"/>
        </w:tblCellMar>
        <w:tblLook w:val="00A0" w:firstRow="1" w:lastRow="0" w:firstColumn="1" w:lastColumn="0" w:noHBand="0" w:noVBand="0"/>
      </w:tblPr>
      <w:tblGrid>
        <w:gridCol w:w="3941"/>
        <w:gridCol w:w="5101"/>
      </w:tblGrid>
      <w:tr w:rsidR="00787239" w:rsidRPr="0072401A" w14:paraId="213EC260" w14:textId="77777777" w:rsidTr="00700FFB">
        <w:trPr>
          <w:trHeight w:val="187"/>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99CCFF"/>
            <w:vAlign w:val="bottom"/>
          </w:tcPr>
          <w:p w14:paraId="39C3A286" w14:textId="77777777" w:rsidR="00787239" w:rsidRPr="00787239" w:rsidRDefault="00787239" w:rsidP="00787239">
            <w:pPr>
              <w:tabs>
                <w:tab w:val="left" w:pos="6660"/>
              </w:tabs>
              <w:spacing w:after="0"/>
              <w:rPr>
                <w:rFonts w:cs="Arial"/>
                <w:bCs/>
                <w:szCs w:val="24"/>
              </w:rPr>
            </w:pPr>
            <w:r w:rsidRPr="00787239">
              <w:rPr>
                <w:rFonts w:cs="Arial"/>
                <w:bCs/>
                <w:szCs w:val="24"/>
              </w:rPr>
              <w:t>1.</w:t>
            </w:r>
            <w:r>
              <w:rPr>
                <w:rFonts w:cs="Arial"/>
                <w:bCs/>
                <w:szCs w:val="24"/>
              </w:rPr>
              <w:t xml:space="preserve"> Základní identifikační údaje</w:t>
            </w:r>
          </w:p>
        </w:tc>
      </w:tr>
      <w:tr w:rsidR="001A5E0D" w:rsidRPr="0072401A" w14:paraId="2BD74344" w14:textId="77777777" w:rsidTr="00700FFB">
        <w:trPr>
          <w:trHeight w:val="187"/>
        </w:trPr>
        <w:tc>
          <w:tcPr>
            <w:tcW w:w="5000" w:type="pct"/>
            <w:gridSpan w:val="2"/>
            <w:tcBorders>
              <w:top w:val="single" w:sz="12" w:space="0" w:color="000000"/>
              <w:left w:val="single" w:sz="12" w:space="0" w:color="000000"/>
              <w:bottom w:val="single" w:sz="4" w:space="0" w:color="auto"/>
              <w:right w:val="single" w:sz="12" w:space="0" w:color="000000"/>
            </w:tcBorders>
            <w:shd w:val="clear" w:color="auto" w:fill="auto"/>
            <w:vAlign w:val="bottom"/>
          </w:tcPr>
          <w:p w14:paraId="7FB3B297" w14:textId="77777777" w:rsidR="001A5E0D" w:rsidRPr="00ED5FBB" w:rsidRDefault="00406FCE" w:rsidP="0051494D">
            <w:pPr>
              <w:pStyle w:val="Zkladntext"/>
              <w:tabs>
                <w:tab w:val="left" w:pos="2127"/>
              </w:tabs>
              <w:spacing w:line="276" w:lineRule="auto"/>
              <w:jc w:val="both"/>
              <w:rPr>
                <w:rFonts w:ascii="Calibri" w:hAnsi="Calibri" w:cs="Arial"/>
                <w:b/>
                <w:bCs/>
                <w:i/>
                <w:iCs/>
                <w:sz w:val="22"/>
                <w:u w:val="single"/>
              </w:rPr>
            </w:pPr>
            <w:r>
              <w:rPr>
                <w:rFonts w:ascii="Calibri" w:hAnsi="Calibri" w:cs="Arial"/>
                <w:bCs/>
                <w:sz w:val="22"/>
              </w:rPr>
              <w:t>Název návrhu</w:t>
            </w:r>
            <w:r w:rsidR="001A5E0D" w:rsidRPr="00545040">
              <w:rPr>
                <w:rFonts w:ascii="Calibri" w:hAnsi="Calibri" w:cs="Arial"/>
                <w:bCs/>
                <w:sz w:val="22"/>
              </w:rPr>
              <w:t xml:space="preserve">: </w:t>
            </w:r>
            <w:r w:rsidR="00EC4064" w:rsidRPr="00EC4064">
              <w:rPr>
                <w:rFonts w:asciiTheme="minorHAnsi" w:eastAsia="Droid Sans Fallback" w:hAnsiTheme="minorHAnsi" w:cstheme="minorHAnsi"/>
                <w:bCs/>
                <w:sz w:val="22"/>
                <w:szCs w:val="22"/>
              </w:rPr>
              <w:t>Návrh zákona, kterým se mění zákon č. 427/2011 Sb., o doplňkovém penzijním spoření</w:t>
            </w:r>
            <w:r w:rsidR="0051494D">
              <w:t xml:space="preserve">, </w:t>
            </w:r>
            <w:r w:rsidR="0051494D" w:rsidRPr="0051494D">
              <w:rPr>
                <w:rFonts w:asciiTheme="minorHAnsi" w:eastAsia="Droid Sans Fallback" w:hAnsiTheme="minorHAnsi" w:cstheme="minorHAnsi"/>
                <w:bCs/>
                <w:sz w:val="22"/>
                <w:szCs w:val="22"/>
              </w:rPr>
              <w:t>ve znění pozdějších předpisů, a další související zákony</w:t>
            </w:r>
          </w:p>
        </w:tc>
        <w:bookmarkStart w:id="20" w:name="_GoBack"/>
        <w:bookmarkEnd w:id="20"/>
      </w:tr>
      <w:tr w:rsidR="001A5E0D" w:rsidRPr="0072401A" w14:paraId="5B9FF2C5" w14:textId="77777777" w:rsidTr="00700FFB">
        <w:trPr>
          <w:trHeight w:val="979"/>
        </w:trPr>
        <w:tc>
          <w:tcPr>
            <w:tcW w:w="2179" w:type="pct"/>
            <w:tcBorders>
              <w:top w:val="single" w:sz="4" w:space="0" w:color="auto"/>
              <w:left w:val="single" w:sz="12" w:space="0" w:color="000000"/>
              <w:bottom w:val="single" w:sz="4" w:space="0" w:color="auto"/>
              <w:right w:val="single" w:sz="4" w:space="0" w:color="auto"/>
            </w:tcBorders>
            <w:shd w:val="clear" w:color="auto" w:fill="auto"/>
            <w:vAlign w:val="center"/>
          </w:tcPr>
          <w:p w14:paraId="7C3C5DA4" w14:textId="77777777" w:rsidR="001A5E0D" w:rsidRPr="00545040" w:rsidRDefault="001A5E0D" w:rsidP="00316E6D">
            <w:pPr>
              <w:tabs>
                <w:tab w:val="left" w:pos="6660"/>
              </w:tabs>
              <w:spacing w:after="0"/>
              <w:jc w:val="center"/>
              <w:rPr>
                <w:rFonts w:cs="Arial"/>
                <w:bCs/>
                <w:szCs w:val="24"/>
              </w:rPr>
            </w:pPr>
            <w:r w:rsidRPr="00545040">
              <w:rPr>
                <w:rFonts w:cs="Arial"/>
                <w:bCs/>
                <w:szCs w:val="24"/>
              </w:rPr>
              <w:t xml:space="preserve">Zpracovatel / zástupce předkladatele: </w:t>
            </w:r>
          </w:p>
          <w:p w14:paraId="32E169E5" w14:textId="77777777" w:rsidR="00E55378" w:rsidRPr="00545040" w:rsidRDefault="007C2F78" w:rsidP="00316E6D">
            <w:pPr>
              <w:tabs>
                <w:tab w:val="left" w:pos="6660"/>
              </w:tabs>
              <w:spacing w:after="0"/>
              <w:jc w:val="center"/>
              <w:rPr>
                <w:rFonts w:cs="Arial"/>
                <w:bCs/>
                <w:szCs w:val="24"/>
                <w:u w:val="single"/>
              </w:rPr>
            </w:pPr>
            <w:r>
              <w:rPr>
                <w:rFonts w:cs="Arial"/>
                <w:bCs/>
                <w:szCs w:val="24"/>
              </w:rPr>
              <w:t>Ministerstvo financí ČR</w:t>
            </w:r>
          </w:p>
        </w:tc>
        <w:tc>
          <w:tcPr>
            <w:tcW w:w="2821" w:type="pct"/>
            <w:tcBorders>
              <w:top w:val="single" w:sz="4" w:space="0" w:color="auto"/>
              <w:left w:val="single" w:sz="4" w:space="0" w:color="auto"/>
              <w:bottom w:val="single" w:sz="4" w:space="0" w:color="auto"/>
              <w:right w:val="single" w:sz="12" w:space="0" w:color="000000"/>
            </w:tcBorders>
            <w:shd w:val="clear" w:color="auto" w:fill="auto"/>
            <w:vAlign w:val="center"/>
          </w:tcPr>
          <w:p w14:paraId="0CA83FD9" w14:textId="77777777" w:rsidR="00355B77" w:rsidRPr="00E37318" w:rsidRDefault="001A5E0D" w:rsidP="00E90F87">
            <w:pPr>
              <w:tabs>
                <w:tab w:val="left" w:pos="6660"/>
              </w:tabs>
              <w:spacing w:after="0"/>
              <w:jc w:val="center"/>
              <w:rPr>
                <w:rFonts w:cs="Arial"/>
                <w:bCs/>
                <w:szCs w:val="24"/>
              </w:rPr>
            </w:pPr>
            <w:r w:rsidRPr="00545040">
              <w:rPr>
                <w:rFonts w:cs="Arial"/>
                <w:bCs/>
                <w:szCs w:val="24"/>
              </w:rPr>
              <w:t>Předpokládaný termín nabytí účinnosti</w:t>
            </w:r>
            <w:r w:rsidR="004D0942">
              <w:rPr>
                <w:rFonts w:cs="Arial"/>
                <w:bCs/>
                <w:szCs w:val="24"/>
              </w:rPr>
              <w:t>:</w:t>
            </w:r>
          </w:p>
          <w:p w14:paraId="2DA63084" w14:textId="77777777" w:rsidR="00E37318" w:rsidRPr="0016193A" w:rsidRDefault="0016193A" w:rsidP="0016193A">
            <w:pPr>
              <w:tabs>
                <w:tab w:val="left" w:pos="6660"/>
              </w:tabs>
              <w:spacing w:after="0"/>
              <w:jc w:val="center"/>
              <w:rPr>
                <w:rFonts w:cs="Arial"/>
                <w:bCs/>
              </w:rPr>
            </w:pPr>
            <w:r w:rsidRPr="009D2306">
              <w:rPr>
                <w:rFonts w:cs="Arial"/>
                <w:bCs/>
              </w:rPr>
              <w:t xml:space="preserve">1. </w:t>
            </w:r>
            <w:r w:rsidR="00B15295" w:rsidRPr="009D2306">
              <w:rPr>
                <w:rFonts w:cs="Arial"/>
                <w:bCs/>
              </w:rPr>
              <w:t>1. 2027</w:t>
            </w:r>
          </w:p>
        </w:tc>
      </w:tr>
      <w:tr w:rsidR="001A5E0D" w:rsidRPr="0072401A" w14:paraId="5B3B2586" w14:textId="77777777" w:rsidTr="00700FFB">
        <w:tblPrEx>
          <w:tblBorders>
            <w:top w:val="single" w:sz="4" w:space="0" w:color="auto"/>
            <w:left w:val="single" w:sz="4" w:space="0" w:color="auto"/>
            <w:bottom w:val="single" w:sz="4" w:space="0" w:color="auto"/>
            <w:right w:val="single" w:sz="4" w:space="0" w:color="auto"/>
          </w:tblBorders>
        </w:tblPrEx>
        <w:trPr>
          <w:trHeight w:val="205"/>
        </w:trPr>
        <w:tc>
          <w:tcPr>
            <w:tcW w:w="5000" w:type="pct"/>
            <w:gridSpan w:val="2"/>
            <w:tcBorders>
              <w:top w:val="single" w:sz="12" w:space="0" w:color="000000"/>
              <w:left w:val="single" w:sz="12" w:space="0" w:color="000000"/>
              <w:right w:val="single" w:sz="12" w:space="0" w:color="000000"/>
            </w:tcBorders>
            <w:shd w:val="clear" w:color="auto" w:fill="auto"/>
            <w:vAlign w:val="center"/>
          </w:tcPr>
          <w:p w14:paraId="22315FF6" w14:textId="77777777" w:rsidR="001A5E0D" w:rsidRPr="00545040" w:rsidRDefault="001A5E0D" w:rsidP="00B15295">
            <w:pPr>
              <w:tabs>
                <w:tab w:val="left" w:pos="6660"/>
              </w:tabs>
              <w:spacing w:after="0"/>
              <w:rPr>
                <w:rFonts w:cs="Arial"/>
                <w:i/>
                <w:iCs/>
                <w:szCs w:val="24"/>
                <w:u w:val="single"/>
              </w:rPr>
            </w:pPr>
            <w:r w:rsidRPr="00CD1C42">
              <w:rPr>
                <w:rFonts w:cs="Arial"/>
                <w:bCs/>
                <w:szCs w:val="24"/>
              </w:rPr>
              <w:t>Implementace pr</w:t>
            </w:r>
            <w:r w:rsidR="003C4CB0">
              <w:rPr>
                <w:rFonts w:cs="Arial"/>
                <w:bCs/>
                <w:szCs w:val="24"/>
              </w:rPr>
              <w:t xml:space="preserve">áva EU:  </w:t>
            </w:r>
            <w:r w:rsidR="00937CA6">
              <w:rPr>
                <w:rFonts w:cs="Arial"/>
                <w:bCs/>
                <w:i/>
                <w:sz w:val="20"/>
                <w:szCs w:val="24"/>
              </w:rPr>
              <w:fldChar w:fldCharType="begin">
                <w:ffData>
                  <w:name w:val=""/>
                  <w:enabled w:val="0"/>
                  <w:calcOnExit w:val="0"/>
                  <w:checkBox>
                    <w:sizeAuto/>
                    <w:default w:val="0"/>
                  </w:checkBox>
                </w:ffData>
              </w:fldChar>
            </w:r>
            <w:r w:rsidR="00937CA6">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937CA6">
              <w:rPr>
                <w:rFonts w:cs="Arial"/>
                <w:bCs/>
                <w:i/>
                <w:sz w:val="20"/>
                <w:szCs w:val="24"/>
              </w:rPr>
              <w:fldChar w:fldCharType="end"/>
            </w:r>
            <w:r w:rsidR="003C4CB0" w:rsidRPr="003C4CB0">
              <w:rPr>
                <w:rFonts w:cs="Arial"/>
                <w:bCs/>
                <w:sz w:val="20"/>
                <w:szCs w:val="24"/>
              </w:rPr>
              <w:t xml:space="preserve"> </w:t>
            </w:r>
            <w:r w:rsidR="003C4CB0" w:rsidRPr="00B45EF3">
              <w:rPr>
                <w:rFonts w:cs="Arial"/>
                <w:bCs/>
                <w:szCs w:val="24"/>
              </w:rPr>
              <w:t>ANO</w:t>
            </w:r>
            <w:r w:rsidR="003C4CB0">
              <w:rPr>
                <w:rFonts w:cs="Arial"/>
                <w:bCs/>
                <w:szCs w:val="24"/>
              </w:rPr>
              <w:t xml:space="preserve"> </w:t>
            </w:r>
            <w:r w:rsidR="003C4CB0" w:rsidRPr="00B45EF3">
              <w:rPr>
                <w:rFonts w:cs="Arial"/>
                <w:bCs/>
                <w:szCs w:val="24"/>
              </w:rPr>
              <w:t xml:space="preserve"> </w:t>
            </w:r>
            <w:r w:rsidR="00B15295">
              <w:rPr>
                <w:rFonts w:cs="Arial"/>
                <w:bCs/>
                <w:i/>
                <w:sz w:val="20"/>
                <w:szCs w:val="24"/>
              </w:rPr>
              <w:fldChar w:fldCharType="begin">
                <w:ffData>
                  <w:name w:val=""/>
                  <w:enabled/>
                  <w:calcOnExit w:val="0"/>
                  <w:checkBox>
                    <w:sizeAuto/>
                    <w:default w:val="1"/>
                  </w:checkBox>
                </w:ffData>
              </w:fldChar>
            </w:r>
            <w:r w:rsidR="00B15295">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B15295">
              <w:rPr>
                <w:rFonts w:cs="Arial"/>
                <w:bCs/>
                <w:i/>
                <w:sz w:val="20"/>
                <w:szCs w:val="24"/>
              </w:rPr>
              <w:fldChar w:fldCharType="end"/>
            </w:r>
            <w:r w:rsidR="003C4CB0" w:rsidRPr="003C4CB0">
              <w:rPr>
                <w:rFonts w:cs="Arial"/>
                <w:bCs/>
                <w:sz w:val="20"/>
                <w:szCs w:val="24"/>
              </w:rPr>
              <w:t xml:space="preserve"> </w:t>
            </w:r>
            <w:r w:rsidR="003C4CB0">
              <w:rPr>
                <w:rFonts w:cs="Arial"/>
                <w:bCs/>
                <w:szCs w:val="24"/>
              </w:rPr>
              <w:t xml:space="preserve">NE. </w:t>
            </w:r>
          </w:p>
        </w:tc>
      </w:tr>
      <w:tr w:rsidR="001A5E0D" w:rsidRPr="0072401A" w14:paraId="43EF37AA" w14:textId="77777777" w:rsidTr="00700FFB">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12" w:space="0" w:color="auto"/>
              <w:left w:val="single" w:sz="12" w:space="0" w:color="auto"/>
              <w:bottom w:val="single" w:sz="4" w:space="0" w:color="auto"/>
              <w:right w:val="single" w:sz="12" w:space="0" w:color="auto"/>
            </w:tcBorders>
            <w:shd w:val="clear" w:color="auto" w:fill="99CCFF"/>
          </w:tcPr>
          <w:p w14:paraId="071B78A0" w14:textId="77777777" w:rsidR="001A5E0D" w:rsidRPr="00545040" w:rsidRDefault="001A5E0D" w:rsidP="00316E6D">
            <w:pPr>
              <w:tabs>
                <w:tab w:val="left" w:pos="6660"/>
              </w:tabs>
              <w:spacing w:after="0"/>
              <w:rPr>
                <w:rFonts w:cs="Arial"/>
                <w:bCs/>
                <w:szCs w:val="24"/>
              </w:rPr>
            </w:pPr>
            <w:r w:rsidRPr="00545040">
              <w:rPr>
                <w:rFonts w:cs="Arial"/>
                <w:bCs/>
                <w:szCs w:val="24"/>
              </w:rPr>
              <w:t xml:space="preserve">2. Cíl návrhu zákona </w:t>
            </w:r>
          </w:p>
        </w:tc>
      </w:tr>
      <w:tr w:rsidR="001A5E0D" w:rsidRPr="0072401A" w14:paraId="23D1F520"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4B374EAC" w14:textId="1B2D4ADB" w:rsidR="001A5E0D" w:rsidRPr="00670A7C" w:rsidRDefault="00E7366B" w:rsidP="00FD5A46">
            <w:pPr>
              <w:autoSpaceDE w:val="0"/>
              <w:autoSpaceDN w:val="0"/>
              <w:adjustRightInd w:val="0"/>
              <w:spacing w:after="0"/>
              <w:jc w:val="both"/>
              <w:rPr>
                <w:rFonts w:cs="Arial"/>
                <w:bCs/>
                <w:szCs w:val="24"/>
              </w:rPr>
            </w:pPr>
            <w:r w:rsidRPr="00A04778">
              <w:rPr>
                <w:szCs w:val="24"/>
              </w:rPr>
              <w:t xml:space="preserve">Cílem </w:t>
            </w:r>
            <w:r>
              <w:rPr>
                <w:szCs w:val="24"/>
              </w:rPr>
              <w:t xml:space="preserve">návrhu zákona je zvýšení atraktivity a </w:t>
            </w:r>
            <w:r w:rsidRPr="009D2306">
              <w:rPr>
                <w:szCs w:val="24"/>
              </w:rPr>
              <w:t xml:space="preserve">zefektivnění doplňkového penzijního systému, který bude </w:t>
            </w:r>
            <w:r w:rsidR="0025384B" w:rsidRPr="009D2306">
              <w:rPr>
                <w:szCs w:val="24"/>
              </w:rPr>
              <w:t xml:space="preserve">lépe </w:t>
            </w:r>
            <w:r w:rsidRPr="009D2306">
              <w:rPr>
                <w:szCs w:val="24"/>
              </w:rPr>
              <w:t>schopen doplňovat průběžně financovaný státní důchodový</w:t>
            </w:r>
            <w:r>
              <w:rPr>
                <w:szCs w:val="24"/>
              </w:rPr>
              <w:t xml:space="preserve"> pilíř a zajistí</w:t>
            </w:r>
            <w:r w:rsidRPr="00A04778">
              <w:rPr>
                <w:szCs w:val="24"/>
              </w:rPr>
              <w:t xml:space="preserve"> občanům v</w:t>
            </w:r>
            <w:r>
              <w:rPr>
                <w:szCs w:val="24"/>
              </w:rPr>
              <w:t>yšší finanční jistotu ve stáří</w:t>
            </w:r>
            <w:r w:rsidR="00833AA5">
              <w:rPr>
                <w:szCs w:val="24"/>
              </w:rPr>
              <w:t>.</w:t>
            </w:r>
          </w:p>
        </w:tc>
      </w:tr>
      <w:tr w:rsidR="001A5E0D" w:rsidRPr="00565BD9" w14:paraId="7B109CCA"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12" w:space="0" w:color="auto"/>
              <w:left w:val="single" w:sz="12" w:space="0" w:color="auto"/>
              <w:bottom w:val="single" w:sz="12" w:space="0" w:color="FFFFFF" w:themeColor="background1"/>
              <w:right w:val="single" w:sz="12" w:space="0" w:color="auto"/>
            </w:tcBorders>
            <w:shd w:val="clear" w:color="auto" w:fill="99CCFF"/>
          </w:tcPr>
          <w:p w14:paraId="48B5A1E5" w14:textId="77777777" w:rsidR="001A5E0D" w:rsidRPr="00545040" w:rsidRDefault="001A5E0D" w:rsidP="00316E6D">
            <w:pPr>
              <w:tabs>
                <w:tab w:val="left" w:pos="1037"/>
              </w:tabs>
              <w:spacing w:after="0"/>
              <w:rPr>
                <w:rFonts w:cs="Arial"/>
                <w:bCs/>
                <w:szCs w:val="24"/>
              </w:rPr>
            </w:pPr>
            <w:r w:rsidRPr="00545040">
              <w:rPr>
                <w:rFonts w:cs="Arial"/>
                <w:bCs/>
                <w:szCs w:val="24"/>
              </w:rPr>
              <w:t xml:space="preserve">3. </w:t>
            </w:r>
            <w:r w:rsidRPr="00545040">
              <w:rPr>
                <w:rFonts w:cs="Arial"/>
                <w:szCs w:val="24"/>
              </w:rPr>
              <w:t>Agregované</w:t>
            </w:r>
            <w:r w:rsidRPr="00545040">
              <w:rPr>
                <w:rFonts w:cs="Arial"/>
                <w:bCs/>
                <w:szCs w:val="24"/>
              </w:rPr>
              <w:t xml:space="preserve"> dopady návrhu zákona</w:t>
            </w:r>
          </w:p>
        </w:tc>
      </w:tr>
      <w:tr w:rsidR="001A5E0D" w:rsidRPr="0072401A" w14:paraId="2AAC578F"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12" w:space="0" w:color="FFFFFF" w:themeColor="background1"/>
              <w:left w:val="single" w:sz="12" w:space="0" w:color="auto"/>
              <w:bottom w:val="single" w:sz="4" w:space="0" w:color="auto"/>
              <w:right w:val="single" w:sz="12" w:space="0" w:color="auto"/>
            </w:tcBorders>
            <w:shd w:val="clear" w:color="auto" w:fill="C6D9F1" w:themeFill="text2" w:themeFillTint="33"/>
          </w:tcPr>
          <w:p w14:paraId="475BDFFA" w14:textId="77777777" w:rsidR="001A5E0D" w:rsidRPr="00545040" w:rsidRDefault="001A5E0D" w:rsidP="003C24EA">
            <w:pPr>
              <w:tabs>
                <w:tab w:val="left" w:pos="1037"/>
              </w:tabs>
              <w:spacing w:after="0"/>
              <w:rPr>
                <w:rFonts w:cs="Arial"/>
                <w:bCs/>
                <w:szCs w:val="24"/>
              </w:rPr>
            </w:pPr>
            <w:r w:rsidRPr="00545040">
              <w:rPr>
                <w:rFonts w:cs="Arial"/>
                <w:bCs/>
                <w:szCs w:val="24"/>
              </w:rPr>
              <w:t>3.1 Dopady na státní rozpo</w:t>
            </w:r>
            <w:r w:rsidR="00A4241F">
              <w:rPr>
                <w:rFonts w:cs="Arial"/>
                <w:bCs/>
                <w:szCs w:val="24"/>
              </w:rPr>
              <w:t>čet a ostatní veřejné rozpočty</w:t>
            </w:r>
            <w:r w:rsidR="003C4CB0">
              <w:rPr>
                <w:rFonts w:cs="Arial"/>
                <w:bCs/>
                <w:szCs w:val="24"/>
              </w:rPr>
              <w:t>:</w:t>
            </w:r>
            <w:r w:rsidR="003C4CB0">
              <w:rPr>
                <w:rFonts w:cs="Arial"/>
                <w:bCs/>
                <w:i/>
                <w:szCs w:val="24"/>
              </w:rPr>
              <w:t xml:space="preserve">  </w:t>
            </w:r>
            <w:r w:rsidR="003C24EA">
              <w:rPr>
                <w:rFonts w:cs="Arial"/>
                <w:bCs/>
                <w:i/>
                <w:sz w:val="20"/>
                <w:szCs w:val="24"/>
              </w:rPr>
              <w:fldChar w:fldCharType="begin">
                <w:ffData>
                  <w:name w:val="Zaškrtávací1"/>
                  <w:enabled/>
                  <w:calcOnExit w:val="0"/>
                  <w:checkBox>
                    <w:sizeAuto/>
                    <w:default w:val="1"/>
                  </w:checkBox>
                </w:ffData>
              </w:fldChar>
            </w:r>
            <w:bookmarkStart w:id="21" w:name="Zaškrtávací1"/>
            <w:r w:rsidR="003C24EA">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3C24EA">
              <w:rPr>
                <w:rFonts w:cs="Arial"/>
                <w:bCs/>
                <w:i/>
                <w:sz w:val="20"/>
                <w:szCs w:val="24"/>
              </w:rPr>
              <w:fldChar w:fldCharType="end"/>
            </w:r>
            <w:bookmarkEnd w:id="21"/>
            <w:r w:rsidR="00A4241F" w:rsidRPr="003C4CB0">
              <w:rPr>
                <w:rFonts w:cs="Arial"/>
                <w:bCs/>
                <w:sz w:val="20"/>
                <w:szCs w:val="24"/>
              </w:rPr>
              <w:t xml:space="preserve"> </w:t>
            </w:r>
            <w:r w:rsidR="00B45EF3" w:rsidRPr="00B45EF3">
              <w:rPr>
                <w:rFonts w:cs="Arial"/>
                <w:bCs/>
                <w:szCs w:val="24"/>
              </w:rPr>
              <w:t>ANO</w:t>
            </w:r>
            <w:r w:rsidR="003C4CB0">
              <w:rPr>
                <w:rFonts w:cs="Arial"/>
                <w:bCs/>
                <w:szCs w:val="24"/>
              </w:rPr>
              <w:t xml:space="preserve"> </w:t>
            </w:r>
            <w:r w:rsidR="00B45EF3" w:rsidRPr="00B45EF3">
              <w:rPr>
                <w:rFonts w:cs="Arial"/>
                <w:bCs/>
                <w:szCs w:val="24"/>
              </w:rPr>
              <w:t xml:space="preserve"> </w:t>
            </w:r>
            <w:r w:rsidR="003C4CB0">
              <w:rPr>
                <w:rFonts w:cs="Arial"/>
                <w:bCs/>
                <w:i/>
                <w:sz w:val="20"/>
                <w:szCs w:val="24"/>
              </w:rPr>
              <w:fldChar w:fldCharType="begin">
                <w:ffData>
                  <w:name w:val="Zaškrtávací1"/>
                  <w:enabled/>
                  <w:calcOnExit w:val="0"/>
                  <w:checkBox>
                    <w:sizeAuto/>
                    <w:default w:val="0"/>
                  </w:checkBox>
                </w:ffData>
              </w:fldChar>
            </w:r>
            <w:r w:rsidR="003C4CB0">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3C4CB0">
              <w:rPr>
                <w:rFonts w:cs="Arial"/>
                <w:bCs/>
                <w:i/>
                <w:sz w:val="20"/>
                <w:szCs w:val="24"/>
              </w:rPr>
              <w:fldChar w:fldCharType="end"/>
            </w:r>
            <w:r w:rsidR="003C4CB0" w:rsidRPr="003C4CB0">
              <w:rPr>
                <w:rFonts w:cs="Arial"/>
                <w:bCs/>
                <w:sz w:val="20"/>
                <w:szCs w:val="24"/>
              </w:rPr>
              <w:t xml:space="preserve"> </w:t>
            </w:r>
            <w:r w:rsidR="003C4CB0">
              <w:rPr>
                <w:rFonts w:cs="Arial"/>
                <w:bCs/>
                <w:szCs w:val="24"/>
              </w:rPr>
              <w:t>NE</w:t>
            </w:r>
            <w:r w:rsidR="003C4CB0" w:rsidRPr="00B45EF3">
              <w:rPr>
                <w:rFonts w:cs="Arial"/>
                <w:bCs/>
                <w:szCs w:val="24"/>
              </w:rPr>
              <w:t xml:space="preserve"> </w:t>
            </w:r>
            <w:r w:rsidR="003C4CB0">
              <w:rPr>
                <w:rFonts w:cs="Arial"/>
                <w:bCs/>
                <w:szCs w:val="24"/>
              </w:rPr>
              <w:t xml:space="preserve"> </w:t>
            </w:r>
          </w:p>
        </w:tc>
      </w:tr>
      <w:tr w:rsidR="009D5FE2" w:rsidRPr="0072401A" w14:paraId="2F4A83E2" w14:textId="77777777" w:rsidTr="00700FFB">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30A7C558" w14:textId="77777777" w:rsidR="009D5FE2" w:rsidRPr="00A104E2" w:rsidRDefault="00E600C1" w:rsidP="00BB5FA8">
            <w:pPr>
              <w:tabs>
                <w:tab w:val="left" w:pos="1037"/>
              </w:tabs>
              <w:spacing w:after="0"/>
              <w:jc w:val="both"/>
              <w:rPr>
                <w:rFonts w:asciiTheme="minorHAnsi" w:hAnsiTheme="minorHAnsi" w:cstheme="minorHAnsi"/>
                <w:bCs/>
              </w:rPr>
            </w:pPr>
            <w:r>
              <w:rPr>
                <w:rFonts w:asciiTheme="minorHAnsi" w:hAnsiTheme="minorHAnsi" w:cstheme="minorHAnsi"/>
                <w:bCs/>
              </w:rPr>
              <w:t>Navrhovaná ú</w:t>
            </w:r>
            <w:r w:rsidR="009D5FE2" w:rsidRPr="00A104E2">
              <w:rPr>
                <w:rFonts w:asciiTheme="minorHAnsi" w:hAnsiTheme="minorHAnsi" w:cstheme="minorHAnsi"/>
                <w:bCs/>
              </w:rPr>
              <w:t xml:space="preserve">prava poskytování státního příspěvku bude mít dopad na </w:t>
            </w:r>
            <w:r w:rsidR="00BB5FA8">
              <w:rPr>
                <w:rFonts w:asciiTheme="minorHAnsi" w:hAnsiTheme="minorHAnsi" w:cstheme="minorHAnsi"/>
                <w:bCs/>
              </w:rPr>
              <w:t xml:space="preserve">výdaje </w:t>
            </w:r>
            <w:r w:rsidR="009D5FE2" w:rsidRPr="00A104E2">
              <w:rPr>
                <w:rFonts w:asciiTheme="minorHAnsi" w:hAnsiTheme="minorHAnsi" w:cstheme="minorHAnsi"/>
                <w:bCs/>
              </w:rPr>
              <w:t>státní</w:t>
            </w:r>
            <w:r w:rsidR="00BB5FA8">
              <w:rPr>
                <w:rFonts w:asciiTheme="minorHAnsi" w:hAnsiTheme="minorHAnsi" w:cstheme="minorHAnsi"/>
                <w:bCs/>
              </w:rPr>
              <w:t>ho</w:t>
            </w:r>
            <w:r w:rsidR="009D5FE2" w:rsidRPr="00A104E2">
              <w:rPr>
                <w:rFonts w:asciiTheme="minorHAnsi" w:hAnsiTheme="minorHAnsi" w:cstheme="minorHAnsi"/>
                <w:bCs/>
              </w:rPr>
              <w:t xml:space="preserve"> rozpočt</w:t>
            </w:r>
            <w:r w:rsidR="00BB5FA8">
              <w:rPr>
                <w:rFonts w:asciiTheme="minorHAnsi" w:hAnsiTheme="minorHAnsi" w:cstheme="minorHAnsi"/>
                <w:bCs/>
              </w:rPr>
              <w:t>u</w:t>
            </w:r>
            <w:r w:rsidR="009D5FE2" w:rsidRPr="00A104E2">
              <w:rPr>
                <w:rFonts w:asciiTheme="minorHAnsi" w:hAnsiTheme="minorHAnsi" w:cstheme="minorHAnsi"/>
                <w:bCs/>
              </w:rPr>
              <w:t>.</w:t>
            </w:r>
          </w:p>
        </w:tc>
      </w:tr>
      <w:tr w:rsidR="009D5FE2" w:rsidRPr="0072401A" w14:paraId="46F959DC"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4" w:space="0" w:color="auto"/>
              <w:right w:val="single" w:sz="12" w:space="0" w:color="auto"/>
            </w:tcBorders>
            <w:shd w:val="clear" w:color="auto" w:fill="C6D9F1" w:themeFill="text2" w:themeFillTint="33"/>
          </w:tcPr>
          <w:p w14:paraId="58B23072" w14:textId="77777777" w:rsidR="009D5FE2" w:rsidRDefault="009D5FE2" w:rsidP="009D5FE2">
            <w:pPr>
              <w:tabs>
                <w:tab w:val="left" w:pos="1037"/>
              </w:tabs>
              <w:spacing w:after="0"/>
              <w:rPr>
                <w:rFonts w:cs="Arial"/>
                <w:bCs/>
                <w:szCs w:val="24"/>
              </w:rPr>
            </w:pPr>
            <w:r>
              <w:rPr>
                <w:rFonts w:cs="Arial"/>
                <w:bCs/>
                <w:szCs w:val="24"/>
              </w:rPr>
              <w:t xml:space="preserve">3.2 Dopady na mezinárodní konkurenceschopnost ČR:  </w:t>
            </w:r>
            <w:r>
              <w:rPr>
                <w:rFonts w:cs="Arial"/>
                <w:bCs/>
                <w:i/>
                <w:sz w:val="20"/>
                <w:szCs w:val="24"/>
              </w:rPr>
              <w:fldChar w:fldCharType="begin">
                <w:ffData>
                  <w:name w:val=""/>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7DA48BC7" w14:textId="77777777" w:rsidTr="00700FFB">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66F91B98" w14:textId="77777777" w:rsidR="009D5FE2" w:rsidRDefault="002E31A5" w:rsidP="009D5FE2">
            <w:pPr>
              <w:tabs>
                <w:tab w:val="left" w:pos="1037"/>
              </w:tabs>
              <w:spacing w:after="0"/>
              <w:jc w:val="both"/>
              <w:rPr>
                <w:rFonts w:cs="Arial"/>
                <w:bCs/>
                <w:szCs w:val="24"/>
              </w:rPr>
            </w:pPr>
            <w:r>
              <w:rPr>
                <w:rFonts w:cs="Arial"/>
                <w:bCs/>
                <w:szCs w:val="24"/>
              </w:rPr>
              <w:t>-</w:t>
            </w:r>
          </w:p>
        </w:tc>
      </w:tr>
      <w:tr w:rsidR="009D5FE2" w:rsidRPr="0072401A" w14:paraId="2AA1A733"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4" w:space="0" w:color="auto"/>
              <w:right w:val="single" w:sz="12" w:space="0" w:color="auto"/>
            </w:tcBorders>
            <w:shd w:val="clear" w:color="auto" w:fill="C6D9F1" w:themeFill="text2" w:themeFillTint="33"/>
          </w:tcPr>
          <w:p w14:paraId="2C935146" w14:textId="77777777" w:rsidR="009D5FE2" w:rsidRPr="00545040" w:rsidRDefault="009D5FE2" w:rsidP="009D5FE2">
            <w:pPr>
              <w:tabs>
                <w:tab w:val="left" w:pos="1037"/>
              </w:tabs>
              <w:spacing w:after="0"/>
              <w:rPr>
                <w:rFonts w:cs="Arial"/>
                <w:bCs/>
                <w:szCs w:val="24"/>
              </w:rPr>
            </w:pPr>
            <w:r>
              <w:rPr>
                <w:rFonts w:cs="Arial"/>
                <w:bCs/>
                <w:szCs w:val="24"/>
              </w:rPr>
              <w:t>3.3</w:t>
            </w:r>
            <w:r w:rsidRPr="00545040">
              <w:rPr>
                <w:rFonts w:cs="Arial"/>
                <w:bCs/>
                <w:szCs w:val="24"/>
              </w:rPr>
              <w:t xml:space="preserve"> </w:t>
            </w:r>
            <w:r>
              <w:rPr>
                <w:rFonts w:cs="Arial"/>
                <w:bCs/>
                <w:szCs w:val="24"/>
              </w:rPr>
              <w:t>Dopady na podnikatelské prostředí</w:t>
            </w:r>
            <w:r w:rsidRPr="00545040">
              <w:rPr>
                <w:rFonts w:cs="Arial"/>
                <w:bCs/>
                <w:szCs w:val="24"/>
              </w:rPr>
              <w:t>:</w:t>
            </w:r>
            <w:r>
              <w:rPr>
                <w:rFonts w:cs="Arial"/>
                <w:bCs/>
                <w:szCs w:val="24"/>
              </w:rPr>
              <w:t xml:space="preserve"> </w:t>
            </w:r>
            <w:r w:rsidRPr="00545040">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62811A78" w14:textId="77777777" w:rsidTr="00700FFB">
        <w:tblPrEx>
          <w:tblBorders>
            <w:top w:val="single" w:sz="4" w:space="0" w:color="auto"/>
            <w:left w:val="single" w:sz="4" w:space="0" w:color="auto"/>
            <w:bottom w:val="single" w:sz="4" w:space="0" w:color="auto"/>
            <w:right w:val="single" w:sz="4" w:space="0" w:color="auto"/>
          </w:tblBorders>
        </w:tblPrEx>
        <w:trPr>
          <w:trHeight w:val="369"/>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16980EEB" w14:textId="77ECDF24" w:rsidR="009D5FE2" w:rsidRPr="00545040" w:rsidRDefault="00E600C1" w:rsidP="00C81EBE">
            <w:pPr>
              <w:tabs>
                <w:tab w:val="left" w:pos="1037"/>
              </w:tabs>
              <w:spacing w:after="0"/>
              <w:jc w:val="both"/>
              <w:rPr>
                <w:rFonts w:cs="Arial"/>
                <w:bCs/>
                <w:szCs w:val="24"/>
              </w:rPr>
            </w:pPr>
            <w:r>
              <w:rPr>
                <w:rFonts w:asciiTheme="minorHAnsi" w:eastAsia="Calibri" w:hAnsiTheme="minorHAnsi" w:cstheme="minorHAnsi"/>
              </w:rPr>
              <w:t xml:space="preserve">Navrhované úpravy limitů na úplaty </w:t>
            </w:r>
            <w:r w:rsidRPr="00E600C1">
              <w:rPr>
                <w:rFonts w:asciiTheme="minorHAnsi" w:eastAsia="Calibri" w:hAnsiTheme="minorHAnsi" w:cstheme="minorHAnsi"/>
              </w:rPr>
              <w:t>povedou k</w:t>
            </w:r>
            <w:r w:rsidR="00C81EBE">
              <w:rPr>
                <w:rFonts w:asciiTheme="minorHAnsi" w:eastAsia="Calibri" w:hAnsiTheme="minorHAnsi" w:cstheme="minorHAnsi"/>
              </w:rPr>
              <w:t xml:space="preserve">e snížení </w:t>
            </w:r>
            <w:r w:rsidRPr="00E600C1">
              <w:rPr>
                <w:rFonts w:asciiTheme="minorHAnsi" w:eastAsia="Calibri" w:hAnsiTheme="minorHAnsi" w:cstheme="minorHAnsi"/>
              </w:rPr>
              <w:t>výnosů penzijních společností</w:t>
            </w:r>
            <w:r w:rsidR="00C81EBE">
              <w:rPr>
                <w:rFonts w:asciiTheme="minorHAnsi" w:eastAsia="Calibri" w:hAnsiTheme="minorHAnsi" w:cstheme="minorHAnsi"/>
              </w:rPr>
              <w:t>.</w:t>
            </w:r>
            <w:r w:rsidR="0072649B">
              <w:rPr>
                <w:rFonts w:asciiTheme="minorHAnsi" w:eastAsia="Calibri" w:hAnsiTheme="minorHAnsi" w:cstheme="minorHAnsi"/>
              </w:rPr>
              <w:t xml:space="preserve"> Nicméně tento dopad bude postupně slábnout, neboť </w:t>
            </w:r>
            <w:r w:rsidR="004272DD">
              <w:rPr>
                <w:rFonts w:asciiTheme="minorHAnsi" w:eastAsia="Calibri" w:hAnsiTheme="minorHAnsi" w:cstheme="minorHAnsi"/>
              </w:rPr>
              <w:t xml:space="preserve">na výnosy penzijních společností bude mít pozitivní vliv zvýšení objemu spravovaného majetku kvůli předpokládanému zvýšení účasti mladších účastníků v doplňkovém penzijním systému. </w:t>
            </w:r>
          </w:p>
        </w:tc>
      </w:tr>
      <w:tr w:rsidR="009D5FE2" w:rsidRPr="0072401A" w14:paraId="1BB6E2DD"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4" w:space="0" w:color="auto"/>
              <w:right w:val="single" w:sz="12" w:space="0" w:color="auto"/>
            </w:tcBorders>
            <w:shd w:val="clear" w:color="auto" w:fill="C6D9F1" w:themeFill="text2" w:themeFillTint="33"/>
          </w:tcPr>
          <w:p w14:paraId="0DE16A47" w14:textId="77777777" w:rsidR="009D5FE2" w:rsidRPr="00545040" w:rsidRDefault="009D5FE2" w:rsidP="009D5FE2">
            <w:pPr>
              <w:keepNext/>
              <w:keepLines/>
              <w:tabs>
                <w:tab w:val="left" w:pos="1037"/>
              </w:tabs>
              <w:spacing w:after="0"/>
              <w:rPr>
                <w:rFonts w:cs="Arial"/>
                <w:bCs/>
                <w:szCs w:val="24"/>
              </w:rPr>
            </w:pPr>
            <w:r>
              <w:rPr>
                <w:rFonts w:cs="Arial"/>
                <w:bCs/>
                <w:szCs w:val="24"/>
              </w:rPr>
              <w:t>3.4</w:t>
            </w:r>
            <w:r w:rsidRPr="00545040">
              <w:rPr>
                <w:rFonts w:cs="Arial"/>
                <w:bCs/>
                <w:szCs w:val="24"/>
              </w:rPr>
              <w:t xml:space="preserve"> </w:t>
            </w:r>
            <w:r>
              <w:rPr>
                <w:rFonts w:cs="Arial"/>
                <w:bCs/>
                <w:szCs w:val="24"/>
              </w:rPr>
              <w:t>Územní d</w:t>
            </w:r>
            <w:r w:rsidRPr="00545040">
              <w:rPr>
                <w:rFonts w:cs="Arial"/>
                <w:bCs/>
                <w:szCs w:val="24"/>
              </w:rPr>
              <w:t xml:space="preserve">opady </w:t>
            </w:r>
            <w:r>
              <w:rPr>
                <w:rFonts w:cs="Arial"/>
                <w:bCs/>
                <w:szCs w:val="24"/>
              </w:rPr>
              <w:t xml:space="preserve">včetně dopadů </w:t>
            </w:r>
            <w:r w:rsidRPr="00545040">
              <w:rPr>
                <w:rFonts w:cs="Arial"/>
                <w:bCs/>
                <w:szCs w:val="24"/>
              </w:rPr>
              <w:t>na územní</w:t>
            </w:r>
            <w:r>
              <w:rPr>
                <w:rFonts w:cs="Arial"/>
                <w:bCs/>
                <w:szCs w:val="24"/>
              </w:rPr>
              <w:t xml:space="preserve"> samosprávné celky:</w:t>
            </w:r>
            <w:r w:rsidRPr="00545040">
              <w:rPr>
                <w:rFonts w:cs="Arial"/>
                <w:bCs/>
                <w:szCs w:val="24"/>
              </w:rPr>
              <w:t xml:space="preserve"> </w:t>
            </w:r>
            <w:r>
              <w:rPr>
                <w:rFonts w:cs="Arial"/>
                <w:bCs/>
                <w:szCs w:val="24"/>
              </w:rPr>
              <w:t xml:space="preserve">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rsidDel="007D15F9" w14:paraId="2D7D070E" w14:textId="77777777" w:rsidTr="00700FFB">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5229ED2F" w14:textId="77777777" w:rsidR="009D5FE2" w:rsidRPr="00545040" w:rsidDel="007D15F9" w:rsidRDefault="009D5FE2" w:rsidP="009D5FE2">
            <w:pPr>
              <w:keepNext/>
              <w:keepLines/>
              <w:tabs>
                <w:tab w:val="left" w:pos="1037"/>
              </w:tabs>
              <w:spacing w:after="0"/>
              <w:jc w:val="both"/>
              <w:rPr>
                <w:rFonts w:cs="Arial"/>
                <w:bCs/>
                <w:szCs w:val="24"/>
              </w:rPr>
            </w:pPr>
            <w:r>
              <w:rPr>
                <w:rFonts w:cs="Arial"/>
                <w:bCs/>
                <w:szCs w:val="24"/>
              </w:rPr>
              <w:t>-</w:t>
            </w:r>
          </w:p>
        </w:tc>
      </w:tr>
      <w:tr w:rsidR="009D5FE2" w:rsidRPr="0072401A" w14:paraId="65922242"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4" w:space="0" w:color="auto"/>
              <w:right w:val="single" w:sz="12" w:space="0" w:color="auto"/>
            </w:tcBorders>
            <w:shd w:val="clear" w:color="auto" w:fill="C6D9F1" w:themeFill="text2" w:themeFillTint="33"/>
          </w:tcPr>
          <w:p w14:paraId="30847BE7" w14:textId="77777777" w:rsidR="009D5FE2" w:rsidRPr="00545040" w:rsidRDefault="009D5FE2" w:rsidP="009D5FE2">
            <w:pPr>
              <w:tabs>
                <w:tab w:val="left" w:pos="1037"/>
                <w:tab w:val="left" w:pos="3970"/>
              </w:tabs>
              <w:spacing w:after="0"/>
              <w:rPr>
                <w:rFonts w:cs="Arial"/>
                <w:bCs/>
                <w:szCs w:val="20"/>
              </w:rPr>
            </w:pPr>
            <w:r>
              <w:rPr>
                <w:rFonts w:cs="Arial"/>
                <w:bCs/>
                <w:szCs w:val="20"/>
              </w:rPr>
              <w:t>3.5</w:t>
            </w:r>
            <w:r w:rsidRPr="00545040">
              <w:rPr>
                <w:rFonts w:cs="Arial"/>
                <w:bCs/>
                <w:szCs w:val="20"/>
              </w:rPr>
              <w:t xml:space="preserve"> Sociální dopady: </w:t>
            </w:r>
            <w:r>
              <w:rPr>
                <w:rFonts w:cs="Arial"/>
                <w:bCs/>
                <w:szCs w:val="20"/>
              </w:rPr>
              <w:t xml:space="preserve"> </w:t>
            </w:r>
            <w:r>
              <w:rPr>
                <w:rFonts w:cs="Arial"/>
                <w:bCs/>
                <w:i/>
                <w:sz w:val="20"/>
                <w:szCs w:val="24"/>
              </w:rPr>
              <w:fldChar w:fldCharType="begin">
                <w:ffData>
                  <w:name w:val=""/>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586F63C1" w14:textId="77777777" w:rsidTr="00700FFB">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323939E9" w14:textId="77777777" w:rsidR="009D5FE2" w:rsidRPr="00A104E2" w:rsidRDefault="009D5FE2" w:rsidP="009D5FE2">
            <w:pPr>
              <w:tabs>
                <w:tab w:val="left" w:pos="1037"/>
              </w:tabs>
              <w:spacing w:after="0"/>
              <w:jc w:val="both"/>
              <w:rPr>
                <w:rFonts w:asciiTheme="minorHAnsi" w:hAnsiTheme="minorHAnsi" w:cstheme="minorHAnsi"/>
                <w:bCs/>
                <w:szCs w:val="20"/>
              </w:rPr>
            </w:pPr>
            <w:r>
              <w:rPr>
                <w:rFonts w:asciiTheme="minorHAnsi" w:hAnsiTheme="minorHAnsi" w:cstheme="minorHAnsi"/>
                <w:bCs/>
                <w:szCs w:val="20"/>
              </w:rPr>
              <w:t>-</w:t>
            </w:r>
          </w:p>
        </w:tc>
      </w:tr>
      <w:tr w:rsidR="009D5FE2" w:rsidRPr="0072401A" w14:paraId="35CB86F1" w14:textId="77777777" w:rsidTr="002361C8">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12" w:space="0" w:color="auto"/>
              <w:bottom w:val="single" w:sz="4" w:space="0" w:color="auto"/>
              <w:right w:val="single" w:sz="12" w:space="0" w:color="auto"/>
            </w:tcBorders>
            <w:shd w:val="clear" w:color="auto" w:fill="C6D9F1" w:themeFill="text2" w:themeFillTint="33"/>
          </w:tcPr>
          <w:p w14:paraId="4452C139" w14:textId="77777777" w:rsidR="009D5FE2" w:rsidRPr="00545040" w:rsidRDefault="009D5FE2" w:rsidP="009911D3">
            <w:pPr>
              <w:keepNext/>
              <w:keepLines/>
              <w:tabs>
                <w:tab w:val="left" w:pos="1037"/>
              </w:tabs>
              <w:spacing w:after="0"/>
              <w:rPr>
                <w:rFonts w:cs="Arial"/>
                <w:bCs/>
                <w:szCs w:val="20"/>
              </w:rPr>
            </w:pPr>
            <w:r>
              <w:rPr>
                <w:rFonts w:cs="Arial"/>
                <w:bCs/>
                <w:szCs w:val="20"/>
              </w:rPr>
              <w:t>3.6 Dopady na rodiny</w:t>
            </w:r>
            <w:r w:rsidRPr="00545040">
              <w:rPr>
                <w:rFonts w:cs="Arial"/>
                <w:bCs/>
                <w:szCs w:val="20"/>
              </w:rPr>
              <w:t>:</w:t>
            </w:r>
            <w:r>
              <w:rPr>
                <w:rFonts w:cs="Arial"/>
                <w:bCs/>
                <w:szCs w:val="20"/>
              </w:rPr>
              <w:t xml:space="preserve">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sidR="009911D3">
              <w:rPr>
                <w:rFonts w:cs="Arial"/>
                <w:bCs/>
                <w:i/>
                <w:sz w:val="20"/>
                <w:szCs w:val="24"/>
              </w:rPr>
              <w:fldChar w:fldCharType="begin">
                <w:ffData>
                  <w:name w:val=""/>
                  <w:enabled/>
                  <w:calcOnExit w:val="0"/>
                  <w:checkBox>
                    <w:sizeAuto/>
                    <w:default w:val="1"/>
                  </w:checkBox>
                </w:ffData>
              </w:fldChar>
            </w:r>
            <w:r w:rsidR="009911D3">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9911D3">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388367ED"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5C04A038" w14:textId="77777777" w:rsidR="009D5FE2" w:rsidRPr="00545040" w:rsidRDefault="009D5FE2" w:rsidP="009D5FE2">
            <w:pPr>
              <w:keepNext/>
              <w:keepLines/>
              <w:tabs>
                <w:tab w:val="left" w:pos="1037"/>
              </w:tabs>
              <w:spacing w:after="0"/>
              <w:jc w:val="both"/>
              <w:rPr>
                <w:rFonts w:cs="Arial"/>
                <w:bCs/>
                <w:szCs w:val="20"/>
              </w:rPr>
            </w:pPr>
            <w:r>
              <w:rPr>
                <w:rFonts w:cs="Arial"/>
                <w:bCs/>
                <w:szCs w:val="20"/>
              </w:rPr>
              <w:t>-</w:t>
            </w:r>
          </w:p>
        </w:tc>
      </w:tr>
      <w:tr w:rsidR="009D5FE2" w:rsidRPr="0072401A" w14:paraId="6154F890"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2436B1F0" w14:textId="77777777" w:rsidR="009D5FE2" w:rsidRDefault="009D5FE2" w:rsidP="0000144F">
            <w:pPr>
              <w:tabs>
                <w:tab w:val="left" w:pos="1037"/>
              </w:tabs>
              <w:spacing w:after="0"/>
              <w:rPr>
                <w:rFonts w:cs="Arial"/>
                <w:bCs/>
                <w:szCs w:val="20"/>
              </w:rPr>
            </w:pPr>
            <w:r>
              <w:rPr>
                <w:rFonts w:cs="Arial"/>
                <w:bCs/>
                <w:szCs w:val="20"/>
              </w:rPr>
              <w:t>3.7 Dopady na spotřebitele</w:t>
            </w:r>
            <w:r w:rsidRPr="00545040">
              <w:rPr>
                <w:rFonts w:cs="Arial"/>
                <w:bCs/>
                <w:szCs w:val="20"/>
              </w:rPr>
              <w:t>:</w:t>
            </w:r>
            <w:r>
              <w:rPr>
                <w:rFonts w:cs="Arial"/>
                <w:bCs/>
                <w:szCs w:val="20"/>
              </w:rPr>
              <w:t xml:space="preserve">  </w:t>
            </w:r>
            <w:r w:rsidR="0000144F">
              <w:rPr>
                <w:rFonts w:cs="Arial"/>
                <w:bCs/>
                <w:i/>
                <w:sz w:val="20"/>
                <w:szCs w:val="24"/>
              </w:rPr>
              <w:fldChar w:fldCharType="begin">
                <w:ffData>
                  <w:name w:val=""/>
                  <w:enabled/>
                  <w:calcOnExit w:val="0"/>
                  <w:checkBox>
                    <w:sizeAuto/>
                    <w:default w:val="1"/>
                  </w:checkBox>
                </w:ffData>
              </w:fldChar>
            </w:r>
            <w:r w:rsidR="0000144F">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sidR="0000144F">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41867A0A" w14:textId="77777777" w:rsidTr="0000132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13D084E1" w14:textId="3B7B286C" w:rsidR="009D5FE2" w:rsidRDefault="009D5FE2" w:rsidP="00927291">
            <w:pPr>
              <w:tabs>
                <w:tab w:val="left" w:pos="1037"/>
              </w:tabs>
              <w:spacing w:after="0"/>
              <w:jc w:val="both"/>
              <w:rPr>
                <w:rFonts w:cs="Arial"/>
                <w:bCs/>
                <w:szCs w:val="20"/>
              </w:rPr>
            </w:pPr>
            <w:r w:rsidRPr="00A104E2">
              <w:rPr>
                <w:rFonts w:asciiTheme="minorHAnsi" w:hAnsiTheme="minorHAnsi" w:cstheme="minorHAnsi"/>
                <w:bCs/>
              </w:rPr>
              <w:t xml:space="preserve">Navrhované úpravy </w:t>
            </w:r>
            <w:r>
              <w:rPr>
                <w:rFonts w:asciiTheme="minorHAnsi" w:hAnsiTheme="minorHAnsi" w:cstheme="minorHAnsi"/>
                <w:bCs/>
              </w:rPr>
              <w:t>limit</w:t>
            </w:r>
            <w:r w:rsidR="005A1E2E">
              <w:rPr>
                <w:rFonts w:asciiTheme="minorHAnsi" w:hAnsiTheme="minorHAnsi" w:cstheme="minorHAnsi"/>
                <w:bCs/>
              </w:rPr>
              <w:t>ů</w:t>
            </w:r>
            <w:r>
              <w:rPr>
                <w:rFonts w:asciiTheme="minorHAnsi" w:hAnsiTheme="minorHAnsi" w:cstheme="minorHAnsi"/>
                <w:bCs/>
              </w:rPr>
              <w:t xml:space="preserve"> na </w:t>
            </w:r>
            <w:r w:rsidRPr="00A104E2">
              <w:rPr>
                <w:rFonts w:asciiTheme="minorHAnsi" w:hAnsiTheme="minorHAnsi" w:cstheme="minorHAnsi"/>
                <w:bCs/>
              </w:rPr>
              <w:t>úplat</w:t>
            </w:r>
            <w:r>
              <w:rPr>
                <w:rFonts w:asciiTheme="minorHAnsi" w:hAnsiTheme="minorHAnsi" w:cstheme="minorHAnsi"/>
                <w:bCs/>
              </w:rPr>
              <w:t>y</w:t>
            </w:r>
            <w:r w:rsidRPr="00A104E2">
              <w:rPr>
                <w:rFonts w:asciiTheme="minorHAnsi" w:hAnsiTheme="minorHAnsi" w:cstheme="minorHAnsi"/>
                <w:bCs/>
              </w:rPr>
              <w:t xml:space="preserve"> penzijních společností by měly mít pozitivní dopady na </w:t>
            </w:r>
            <w:r w:rsidR="00FF7EBE">
              <w:rPr>
                <w:rFonts w:asciiTheme="minorHAnsi" w:hAnsiTheme="minorHAnsi" w:cstheme="minorHAnsi"/>
                <w:bCs/>
              </w:rPr>
              <w:t xml:space="preserve">výši </w:t>
            </w:r>
            <w:r w:rsidRPr="00A104E2">
              <w:rPr>
                <w:rFonts w:asciiTheme="minorHAnsi" w:hAnsiTheme="minorHAnsi" w:cstheme="minorHAnsi"/>
                <w:bCs/>
              </w:rPr>
              <w:t xml:space="preserve">úspor </w:t>
            </w:r>
            <w:r>
              <w:rPr>
                <w:rFonts w:asciiTheme="minorHAnsi" w:hAnsiTheme="minorHAnsi" w:cstheme="minorHAnsi"/>
                <w:bCs/>
              </w:rPr>
              <w:t>účastníků na stáří.</w:t>
            </w:r>
            <w:r w:rsidR="001F77CB">
              <w:rPr>
                <w:rFonts w:asciiTheme="minorHAnsi" w:hAnsiTheme="minorHAnsi" w:cstheme="minorHAnsi"/>
                <w:bCs/>
              </w:rPr>
              <w:t xml:space="preserve"> V případě nezletilých účastníků dochází ke snížení potřebné úložky pro nárok na státní příspěvek ze současných 500 Kč na 100 Kč. Státní příspěvek mladých účastníků ve věku do 29 let se zvyšuje ze současných 20 % na 40 % z příspěvku účastníka. </w:t>
            </w:r>
            <w:r w:rsidR="00CF62D0">
              <w:rPr>
                <w:rFonts w:asciiTheme="minorHAnsi" w:hAnsiTheme="minorHAnsi" w:cstheme="minorHAnsi"/>
                <w:bCs/>
              </w:rPr>
              <w:t xml:space="preserve">Tato opatření </w:t>
            </w:r>
            <w:r w:rsidR="00927291">
              <w:rPr>
                <w:rFonts w:asciiTheme="minorHAnsi" w:hAnsiTheme="minorHAnsi" w:cstheme="minorHAnsi"/>
                <w:bCs/>
              </w:rPr>
              <w:t>zatraktivňují doplňkový penzijní systém pro stávající mladé účastníky a motivují</w:t>
            </w:r>
            <w:r w:rsidR="00CF62D0">
              <w:rPr>
                <w:rFonts w:asciiTheme="minorHAnsi" w:hAnsiTheme="minorHAnsi" w:cstheme="minorHAnsi"/>
                <w:bCs/>
              </w:rPr>
              <w:t xml:space="preserve"> </w:t>
            </w:r>
            <w:r w:rsidR="00927291">
              <w:rPr>
                <w:rFonts w:asciiTheme="minorHAnsi" w:hAnsiTheme="minorHAnsi" w:cstheme="minorHAnsi"/>
                <w:bCs/>
              </w:rPr>
              <w:t xml:space="preserve">nové potenciální </w:t>
            </w:r>
            <w:r w:rsidR="00CF62D0">
              <w:rPr>
                <w:rFonts w:asciiTheme="minorHAnsi" w:hAnsiTheme="minorHAnsi" w:cstheme="minorHAnsi"/>
                <w:bCs/>
              </w:rPr>
              <w:t xml:space="preserve">účastníky ke dřívějšímu vstupu do doplňkového penzijního systému. </w:t>
            </w:r>
          </w:p>
        </w:tc>
      </w:tr>
      <w:tr w:rsidR="009D5FE2" w:rsidRPr="0072401A" w14:paraId="5021FEEA"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5F04A45A" w14:textId="77777777" w:rsidR="009D5FE2" w:rsidRPr="00545040" w:rsidRDefault="009D5FE2" w:rsidP="009D5FE2">
            <w:pPr>
              <w:tabs>
                <w:tab w:val="left" w:pos="1037"/>
              </w:tabs>
              <w:spacing w:after="0"/>
              <w:rPr>
                <w:rFonts w:cs="Arial"/>
                <w:bCs/>
                <w:szCs w:val="20"/>
              </w:rPr>
            </w:pPr>
            <w:r>
              <w:rPr>
                <w:rFonts w:cs="Arial"/>
                <w:bCs/>
                <w:szCs w:val="20"/>
              </w:rPr>
              <w:lastRenderedPageBreak/>
              <w:t xml:space="preserve">3.8 Dopady na životní prostředí: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1EA459B4"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433D3844" w14:textId="77777777" w:rsidR="009D5FE2" w:rsidRPr="00545040" w:rsidRDefault="009D5FE2" w:rsidP="009D5FE2">
            <w:pPr>
              <w:tabs>
                <w:tab w:val="left" w:pos="1037"/>
              </w:tabs>
              <w:spacing w:after="0"/>
              <w:rPr>
                <w:rFonts w:cs="Arial"/>
                <w:bCs/>
                <w:szCs w:val="20"/>
              </w:rPr>
            </w:pPr>
            <w:r>
              <w:rPr>
                <w:rFonts w:cs="Arial"/>
                <w:bCs/>
                <w:szCs w:val="20"/>
              </w:rPr>
              <w:t>-</w:t>
            </w:r>
          </w:p>
        </w:tc>
      </w:tr>
      <w:tr w:rsidR="009D5FE2" w:rsidRPr="0072401A" w14:paraId="29E6BBEA"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22120F6E" w14:textId="77777777" w:rsidR="009D5FE2" w:rsidRPr="00545040" w:rsidRDefault="009D5FE2" w:rsidP="009D5FE2">
            <w:pPr>
              <w:tabs>
                <w:tab w:val="left" w:pos="1037"/>
              </w:tabs>
              <w:spacing w:after="0"/>
              <w:rPr>
                <w:rFonts w:cs="Arial"/>
                <w:bCs/>
                <w:szCs w:val="20"/>
              </w:rPr>
            </w:pPr>
            <w:r>
              <w:rPr>
                <w:rFonts w:cs="Arial"/>
                <w:bCs/>
                <w:szCs w:val="20"/>
              </w:rPr>
              <w:t xml:space="preserve">3.9 Dopady ve vztahu k zákazu diskriminace a ve vztahu k rovnosti žen a mužů: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58EB69A3"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13C3C864" w14:textId="77777777" w:rsidR="009D5FE2" w:rsidRPr="00545040" w:rsidRDefault="009D5FE2" w:rsidP="009D5FE2">
            <w:pPr>
              <w:tabs>
                <w:tab w:val="left" w:pos="1037"/>
              </w:tabs>
              <w:spacing w:after="0"/>
              <w:rPr>
                <w:rFonts w:cs="Arial"/>
                <w:bCs/>
                <w:szCs w:val="20"/>
              </w:rPr>
            </w:pPr>
            <w:r>
              <w:rPr>
                <w:rFonts w:cs="Arial"/>
                <w:bCs/>
                <w:szCs w:val="20"/>
              </w:rPr>
              <w:t>-</w:t>
            </w:r>
          </w:p>
        </w:tc>
      </w:tr>
      <w:tr w:rsidR="009D5FE2" w:rsidRPr="0072401A" w14:paraId="74980597"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5A406CBA" w14:textId="77777777" w:rsidR="009D5FE2" w:rsidRPr="00545040" w:rsidRDefault="009D5FE2" w:rsidP="009D5FE2">
            <w:pPr>
              <w:tabs>
                <w:tab w:val="left" w:pos="1037"/>
              </w:tabs>
              <w:spacing w:after="0"/>
              <w:rPr>
                <w:rFonts w:cs="Arial"/>
                <w:bCs/>
                <w:szCs w:val="20"/>
              </w:rPr>
            </w:pPr>
            <w:r>
              <w:rPr>
                <w:rFonts w:cs="Arial"/>
                <w:bCs/>
                <w:szCs w:val="20"/>
              </w:rPr>
              <w:t xml:space="preserve">3.10 Dopady na výkon státní statistické služby: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431319D9"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071B72E3" w14:textId="77777777" w:rsidR="009D5FE2" w:rsidRPr="00545040" w:rsidRDefault="009D5FE2" w:rsidP="009D5FE2">
            <w:pPr>
              <w:tabs>
                <w:tab w:val="left" w:pos="1037"/>
              </w:tabs>
              <w:spacing w:after="0"/>
              <w:rPr>
                <w:rFonts w:cs="Arial"/>
                <w:bCs/>
                <w:szCs w:val="20"/>
              </w:rPr>
            </w:pPr>
            <w:r>
              <w:rPr>
                <w:rFonts w:cs="Arial"/>
                <w:bCs/>
                <w:szCs w:val="20"/>
              </w:rPr>
              <w:t>-</w:t>
            </w:r>
          </w:p>
        </w:tc>
      </w:tr>
      <w:tr w:rsidR="009D5FE2" w:rsidRPr="0072401A" w14:paraId="220373E8"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4ED37A30" w14:textId="77777777" w:rsidR="009D5FE2" w:rsidRPr="00545040" w:rsidRDefault="009D5FE2" w:rsidP="009D5FE2">
            <w:pPr>
              <w:tabs>
                <w:tab w:val="left" w:pos="1037"/>
              </w:tabs>
              <w:spacing w:after="0"/>
              <w:rPr>
                <w:rFonts w:cs="Arial"/>
                <w:bCs/>
                <w:szCs w:val="20"/>
              </w:rPr>
            </w:pPr>
            <w:r>
              <w:rPr>
                <w:rFonts w:cs="Arial"/>
                <w:bCs/>
                <w:szCs w:val="20"/>
              </w:rPr>
              <w:t xml:space="preserve">3.11 Korupční rizika: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18601F9A"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79825768" w14:textId="77777777" w:rsidR="009D5FE2" w:rsidRPr="00545040" w:rsidRDefault="009D5FE2" w:rsidP="009D5FE2">
            <w:pPr>
              <w:tabs>
                <w:tab w:val="left" w:pos="1037"/>
              </w:tabs>
              <w:spacing w:after="0"/>
              <w:rPr>
                <w:rFonts w:cs="Arial"/>
                <w:bCs/>
                <w:szCs w:val="20"/>
              </w:rPr>
            </w:pPr>
            <w:r>
              <w:rPr>
                <w:rFonts w:cs="Arial"/>
                <w:bCs/>
                <w:szCs w:val="20"/>
              </w:rPr>
              <w:t>-</w:t>
            </w:r>
          </w:p>
        </w:tc>
      </w:tr>
      <w:tr w:rsidR="009D5FE2" w:rsidRPr="0072401A" w14:paraId="05BBF7F9" w14:textId="77777777" w:rsidTr="002361C8">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12" w:space="0" w:color="auto"/>
              <w:left w:val="single" w:sz="12" w:space="0" w:color="auto"/>
              <w:bottom w:val="single" w:sz="4" w:space="0" w:color="auto"/>
              <w:right w:val="single" w:sz="12" w:space="0" w:color="auto"/>
            </w:tcBorders>
            <w:shd w:val="clear" w:color="auto" w:fill="C6D9F1" w:themeFill="text2" w:themeFillTint="33"/>
          </w:tcPr>
          <w:p w14:paraId="3AA9234C" w14:textId="77777777" w:rsidR="009D5FE2" w:rsidRPr="00545040" w:rsidRDefault="009D5FE2" w:rsidP="009D5FE2">
            <w:pPr>
              <w:tabs>
                <w:tab w:val="left" w:pos="1037"/>
              </w:tabs>
              <w:spacing w:after="0"/>
              <w:rPr>
                <w:rFonts w:cs="Arial"/>
                <w:bCs/>
                <w:szCs w:val="20"/>
              </w:rPr>
            </w:pPr>
            <w:r>
              <w:rPr>
                <w:rFonts w:cs="Arial"/>
                <w:bCs/>
                <w:szCs w:val="20"/>
              </w:rPr>
              <w:t xml:space="preserve">3.12 Dopady na bezpečnost nebo obranu státu:  </w:t>
            </w:r>
            <w:r>
              <w:rPr>
                <w:rFonts w:cs="Arial"/>
                <w:bCs/>
                <w:i/>
                <w:sz w:val="20"/>
                <w:szCs w:val="24"/>
              </w:rPr>
              <w:fldChar w:fldCharType="begin">
                <w:ffData>
                  <w:name w:val="Zaškrtávací1"/>
                  <w:enabled/>
                  <w:calcOnExit w:val="0"/>
                  <w:checkBox>
                    <w:sizeAuto/>
                    <w:default w:val="0"/>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sidRPr="00B45EF3">
              <w:rPr>
                <w:rFonts w:cs="Arial"/>
                <w:bCs/>
                <w:szCs w:val="24"/>
              </w:rPr>
              <w:t>ANO</w:t>
            </w:r>
            <w:r>
              <w:rPr>
                <w:rFonts w:cs="Arial"/>
                <w:bCs/>
                <w:szCs w:val="24"/>
              </w:rPr>
              <w:t xml:space="preserve"> </w:t>
            </w:r>
            <w:r w:rsidRPr="00B45EF3">
              <w:rPr>
                <w:rFonts w:cs="Arial"/>
                <w:bCs/>
                <w:szCs w:val="24"/>
              </w:rPr>
              <w:t xml:space="preserve"> </w:t>
            </w:r>
            <w:r>
              <w:rPr>
                <w:rFonts w:cs="Arial"/>
                <w:bCs/>
                <w:i/>
                <w:sz w:val="20"/>
                <w:szCs w:val="24"/>
              </w:rPr>
              <w:fldChar w:fldCharType="begin">
                <w:ffData>
                  <w:name w:val=""/>
                  <w:enabled/>
                  <w:calcOnExit w:val="0"/>
                  <w:checkBox>
                    <w:sizeAuto/>
                    <w:default w:val="1"/>
                  </w:checkBox>
                </w:ffData>
              </w:fldChar>
            </w:r>
            <w:r>
              <w:rPr>
                <w:rFonts w:cs="Arial"/>
                <w:bCs/>
                <w:i/>
                <w:sz w:val="20"/>
                <w:szCs w:val="24"/>
              </w:rPr>
              <w:instrText xml:space="preserve"> FORMCHECKBOX </w:instrText>
            </w:r>
            <w:r w:rsidR="00C904AE">
              <w:rPr>
                <w:rFonts w:cs="Arial"/>
                <w:bCs/>
                <w:i/>
                <w:sz w:val="20"/>
                <w:szCs w:val="24"/>
              </w:rPr>
            </w:r>
            <w:r w:rsidR="00C904AE">
              <w:rPr>
                <w:rFonts w:cs="Arial"/>
                <w:bCs/>
                <w:i/>
                <w:sz w:val="20"/>
                <w:szCs w:val="24"/>
              </w:rPr>
              <w:fldChar w:fldCharType="separate"/>
            </w:r>
            <w:r>
              <w:rPr>
                <w:rFonts w:cs="Arial"/>
                <w:bCs/>
                <w:i/>
                <w:sz w:val="20"/>
                <w:szCs w:val="24"/>
              </w:rPr>
              <w:fldChar w:fldCharType="end"/>
            </w:r>
            <w:r w:rsidRPr="003C4CB0">
              <w:rPr>
                <w:rFonts w:cs="Arial"/>
                <w:bCs/>
                <w:sz w:val="20"/>
                <w:szCs w:val="24"/>
              </w:rPr>
              <w:t xml:space="preserve"> </w:t>
            </w:r>
            <w:r>
              <w:rPr>
                <w:rFonts w:cs="Arial"/>
                <w:bCs/>
                <w:szCs w:val="24"/>
              </w:rPr>
              <w:t>NE</w:t>
            </w:r>
            <w:r w:rsidRPr="00B45EF3">
              <w:rPr>
                <w:rFonts w:cs="Arial"/>
                <w:bCs/>
                <w:szCs w:val="24"/>
              </w:rPr>
              <w:t xml:space="preserve"> </w:t>
            </w:r>
            <w:r>
              <w:rPr>
                <w:rFonts w:cs="Arial"/>
                <w:bCs/>
                <w:szCs w:val="24"/>
              </w:rPr>
              <w:t xml:space="preserve"> </w:t>
            </w:r>
          </w:p>
        </w:tc>
      </w:tr>
      <w:tr w:rsidR="009D5FE2" w:rsidRPr="0072401A" w14:paraId="799AD306" w14:textId="77777777" w:rsidTr="00700FFB">
        <w:tblPrEx>
          <w:tblBorders>
            <w:top w:val="single" w:sz="4" w:space="0" w:color="auto"/>
            <w:left w:val="single" w:sz="4" w:space="0" w:color="auto"/>
            <w:bottom w:val="single" w:sz="4" w:space="0" w:color="auto"/>
            <w:right w:val="single" w:sz="4" w:space="0" w:color="auto"/>
          </w:tblBorders>
        </w:tblPrEx>
        <w:trPr>
          <w:trHeight w:val="281"/>
        </w:trPr>
        <w:tc>
          <w:tcPr>
            <w:tcW w:w="5000" w:type="pct"/>
            <w:gridSpan w:val="2"/>
            <w:tcBorders>
              <w:top w:val="single" w:sz="4" w:space="0" w:color="auto"/>
              <w:left w:val="single" w:sz="12" w:space="0" w:color="auto"/>
              <w:bottom w:val="single" w:sz="12" w:space="0" w:color="auto"/>
              <w:right w:val="single" w:sz="12" w:space="0" w:color="auto"/>
            </w:tcBorders>
            <w:shd w:val="clear" w:color="auto" w:fill="auto"/>
          </w:tcPr>
          <w:p w14:paraId="1724CB60" w14:textId="77777777" w:rsidR="009D5FE2" w:rsidRPr="00545040" w:rsidRDefault="009D5FE2" w:rsidP="009D5FE2">
            <w:pPr>
              <w:tabs>
                <w:tab w:val="left" w:pos="1037"/>
              </w:tabs>
              <w:spacing w:after="0"/>
              <w:rPr>
                <w:rFonts w:cs="Arial"/>
                <w:bCs/>
                <w:szCs w:val="20"/>
              </w:rPr>
            </w:pPr>
            <w:r>
              <w:rPr>
                <w:rFonts w:cs="Arial"/>
                <w:bCs/>
                <w:szCs w:val="20"/>
              </w:rPr>
              <w:t>-</w:t>
            </w:r>
          </w:p>
        </w:tc>
      </w:tr>
    </w:tbl>
    <w:p w14:paraId="439E9360" w14:textId="77777777" w:rsidR="00695300" w:rsidRDefault="00695300">
      <w:pPr>
        <w:pStyle w:val="Obsah1"/>
        <w:tabs>
          <w:tab w:val="right" w:leader="dot" w:pos="9457"/>
        </w:tabs>
      </w:pPr>
      <w:bookmarkStart w:id="22" w:name="_Toc418509330"/>
      <w:bookmarkStart w:id="23" w:name="_Toc418511037"/>
      <w:bookmarkStart w:id="24" w:name="_Toc418511454"/>
      <w:bookmarkStart w:id="25" w:name="_Toc423508403"/>
      <w:bookmarkStart w:id="26" w:name="_Toc3289546"/>
      <w:bookmarkStart w:id="27" w:name="_Toc4587306"/>
      <w:bookmarkStart w:id="28" w:name="_Toc8730932"/>
      <w:bookmarkStart w:id="29" w:name="_Toc11764009"/>
      <w:bookmarkStart w:id="30" w:name="_Toc24964551"/>
      <w:bookmarkStart w:id="31" w:name="_Toc190782514"/>
    </w:p>
    <w:p w14:paraId="3588B001" w14:textId="77777777" w:rsidR="00695300" w:rsidRDefault="00695300">
      <w:pPr>
        <w:suppressAutoHyphens w:val="0"/>
        <w:spacing w:after="0" w:line="240" w:lineRule="auto"/>
      </w:pPr>
      <w:r>
        <w:br w:type="page"/>
      </w:r>
    </w:p>
    <w:p w14:paraId="4FF26BD6" w14:textId="77777777" w:rsidR="008F56A1" w:rsidRDefault="00B43CC5" w:rsidP="00EF1835">
      <w:pPr>
        <w:pStyle w:val="Nadpis1"/>
        <w:numPr>
          <w:ilvl w:val="0"/>
          <w:numId w:val="0"/>
        </w:numPr>
        <w:ind w:left="432" w:hanging="432"/>
        <w:rPr>
          <w:noProof/>
        </w:rPr>
      </w:pPr>
      <w:bookmarkStart w:id="32" w:name="_Toc229662648"/>
      <w:bookmarkStart w:id="33" w:name="_Toc229662925"/>
      <w:bookmarkStart w:id="34" w:name="_Toc230006889"/>
      <w:bookmarkStart w:id="35" w:name="_Toc230599031"/>
      <w:bookmarkStart w:id="36" w:name="_Toc230599525"/>
      <w:bookmarkStart w:id="37" w:name="_Toc231310631"/>
      <w:r>
        <w:lastRenderedPageBreak/>
        <w:t>Obsah</w:t>
      </w:r>
      <w:bookmarkEnd w:id="32"/>
      <w:bookmarkEnd w:id="33"/>
      <w:bookmarkEnd w:id="34"/>
      <w:bookmarkEnd w:id="35"/>
      <w:bookmarkEnd w:id="36"/>
      <w:bookmarkEnd w:id="37"/>
      <w:r w:rsidR="00F421E9">
        <w:fldChar w:fldCharType="begin"/>
      </w:r>
      <w:r w:rsidR="00F421E9">
        <w:instrText xml:space="preserve"> TOC \o "1-3" \h \z \u </w:instrText>
      </w:r>
      <w:r w:rsidR="00F421E9">
        <w:fldChar w:fldCharType="separate"/>
      </w:r>
    </w:p>
    <w:p w14:paraId="31A3A2B8" w14:textId="4A0C006E"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32" w:history="1">
        <w:r w:rsidR="008F56A1" w:rsidRPr="00B05431">
          <w:rPr>
            <w:rStyle w:val="Hypertextovodkaz"/>
            <w:noProof/>
          </w:rPr>
          <w:t>1.</w:t>
        </w:r>
        <w:r w:rsidR="008F56A1">
          <w:rPr>
            <w:rFonts w:asciiTheme="minorHAnsi" w:eastAsiaTheme="minorEastAsia" w:hAnsiTheme="minorHAnsi" w:cstheme="minorBidi"/>
            <w:noProof/>
            <w:lang w:eastAsia="cs-CZ"/>
          </w:rPr>
          <w:tab/>
        </w:r>
        <w:r w:rsidR="008F56A1" w:rsidRPr="00B05431">
          <w:rPr>
            <w:rStyle w:val="Hypertextovodkaz"/>
            <w:noProof/>
          </w:rPr>
          <w:t>Důvod předložení a cíle</w:t>
        </w:r>
        <w:r w:rsidR="008F56A1">
          <w:rPr>
            <w:noProof/>
            <w:webHidden/>
          </w:rPr>
          <w:tab/>
        </w:r>
        <w:r w:rsidR="008F56A1">
          <w:rPr>
            <w:noProof/>
            <w:webHidden/>
          </w:rPr>
          <w:fldChar w:fldCharType="begin"/>
        </w:r>
        <w:r w:rsidR="008F56A1">
          <w:rPr>
            <w:noProof/>
            <w:webHidden/>
          </w:rPr>
          <w:instrText xml:space="preserve"> PAGEREF _Toc231310632 \h </w:instrText>
        </w:r>
        <w:r w:rsidR="008F56A1">
          <w:rPr>
            <w:noProof/>
            <w:webHidden/>
          </w:rPr>
        </w:r>
        <w:r w:rsidR="008F56A1">
          <w:rPr>
            <w:noProof/>
            <w:webHidden/>
          </w:rPr>
          <w:fldChar w:fldCharType="separate"/>
        </w:r>
        <w:r w:rsidR="008F56A1">
          <w:rPr>
            <w:noProof/>
            <w:webHidden/>
          </w:rPr>
          <w:t>5</w:t>
        </w:r>
        <w:r w:rsidR="008F56A1">
          <w:rPr>
            <w:noProof/>
            <w:webHidden/>
          </w:rPr>
          <w:fldChar w:fldCharType="end"/>
        </w:r>
      </w:hyperlink>
    </w:p>
    <w:p w14:paraId="6DA62B1B" w14:textId="3D57FAB4"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3" w:history="1">
        <w:r w:rsidR="008F56A1" w:rsidRPr="00B05431">
          <w:rPr>
            <w:rStyle w:val="Hypertextovodkaz"/>
            <w:noProof/>
          </w:rPr>
          <w:t>1.1</w:t>
        </w:r>
        <w:r w:rsidR="008F56A1">
          <w:rPr>
            <w:rFonts w:asciiTheme="minorHAnsi" w:eastAsiaTheme="minorEastAsia" w:hAnsiTheme="minorHAnsi" w:cstheme="minorBidi"/>
            <w:noProof/>
            <w:lang w:eastAsia="cs-CZ"/>
          </w:rPr>
          <w:tab/>
        </w:r>
        <w:r w:rsidR="008F56A1" w:rsidRPr="00B05431">
          <w:rPr>
            <w:rStyle w:val="Hypertextovodkaz"/>
            <w:noProof/>
          </w:rPr>
          <w:t>Název</w:t>
        </w:r>
        <w:r w:rsidR="008F56A1">
          <w:rPr>
            <w:noProof/>
            <w:webHidden/>
          </w:rPr>
          <w:tab/>
        </w:r>
        <w:r w:rsidR="008F56A1">
          <w:rPr>
            <w:noProof/>
            <w:webHidden/>
          </w:rPr>
          <w:fldChar w:fldCharType="begin"/>
        </w:r>
        <w:r w:rsidR="008F56A1">
          <w:rPr>
            <w:noProof/>
            <w:webHidden/>
          </w:rPr>
          <w:instrText xml:space="preserve"> PAGEREF _Toc231310633 \h </w:instrText>
        </w:r>
        <w:r w:rsidR="008F56A1">
          <w:rPr>
            <w:noProof/>
            <w:webHidden/>
          </w:rPr>
        </w:r>
        <w:r w:rsidR="008F56A1">
          <w:rPr>
            <w:noProof/>
            <w:webHidden/>
          </w:rPr>
          <w:fldChar w:fldCharType="separate"/>
        </w:r>
        <w:r w:rsidR="008F56A1">
          <w:rPr>
            <w:noProof/>
            <w:webHidden/>
          </w:rPr>
          <w:t>5</w:t>
        </w:r>
        <w:r w:rsidR="008F56A1">
          <w:rPr>
            <w:noProof/>
            <w:webHidden/>
          </w:rPr>
          <w:fldChar w:fldCharType="end"/>
        </w:r>
      </w:hyperlink>
    </w:p>
    <w:p w14:paraId="1AD0A8D7" w14:textId="3B98BC39"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4" w:history="1">
        <w:r w:rsidR="008F56A1" w:rsidRPr="00B05431">
          <w:rPr>
            <w:rStyle w:val="Hypertextovodkaz"/>
            <w:noProof/>
          </w:rPr>
          <w:t>1.2</w:t>
        </w:r>
        <w:r w:rsidR="008F56A1">
          <w:rPr>
            <w:rFonts w:asciiTheme="minorHAnsi" w:eastAsiaTheme="minorEastAsia" w:hAnsiTheme="minorHAnsi" w:cstheme="minorBidi"/>
            <w:noProof/>
            <w:lang w:eastAsia="cs-CZ"/>
          </w:rPr>
          <w:tab/>
        </w:r>
        <w:r w:rsidR="008F56A1" w:rsidRPr="00B05431">
          <w:rPr>
            <w:rStyle w:val="Hypertextovodkaz"/>
            <w:noProof/>
          </w:rPr>
          <w:t>Definice problému</w:t>
        </w:r>
        <w:r w:rsidR="008F56A1">
          <w:rPr>
            <w:noProof/>
            <w:webHidden/>
          </w:rPr>
          <w:tab/>
        </w:r>
        <w:r w:rsidR="008F56A1">
          <w:rPr>
            <w:noProof/>
            <w:webHidden/>
          </w:rPr>
          <w:fldChar w:fldCharType="begin"/>
        </w:r>
        <w:r w:rsidR="008F56A1">
          <w:rPr>
            <w:noProof/>
            <w:webHidden/>
          </w:rPr>
          <w:instrText xml:space="preserve"> PAGEREF _Toc231310634 \h </w:instrText>
        </w:r>
        <w:r w:rsidR="008F56A1">
          <w:rPr>
            <w:noProof/>
            <w:webHidden/>
          </w:rPr>
        </w:r>
        <w:r w:rsidR="008F56A1">
          <w:rPr>
            <w:noProof/>
            <w:webHidden/>
          </w:rPr>
          <w:fldChar w:fldCharType="separate"/>
        </w:r>
        <w:r w:rsidR="008F56A1">
          <w:rPr>
            <w:noProof/>
            <w:webHidden/>
          </w:rPr>
          <w:t>5</w:t>
        </w:r>
        <w:r w:rsidR="008F56A1">
          <w:rPr>
            <w:noProof/>
            <w:webHidden/>
          </w:rPr>
          <w:fldChar w:fldCharType="end"/>
        </w:r>
      </w:hyperlink>
    </w:p>
    <w:p w14:paraId="51EA07A9" w14:textId="73A00609"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5" w:history="1">
        <w:r w:rsidR="008F56A1" w:rsidRPr="00B05431">
          <w:rPr>
            <w:rStyle w:val="Hypertextovodkaz"/>
            <w:noProof/>
          </w:rPr>
          <w:t>1.3</w:t>
        </w:r>
        <w:r w:rsidR="008F56A1">
          <w:rPr>
            <w:rFonts w:asciiTheme="minorHAnsi" w:eastAsiaTheme="minorEastAsia" w:hAnsiTheme="minorHAnsi" w:cstheme="minorBidi"/>
            <w:noProof/>
            <w:lang w:eastAsia="cs-CZ"/>
          </w:rPr>
          <w:tab/>
        </w:r>
        <w:r w:rsidR="008F56A1" w:rsidRPr="00B05431">
          <w:rPr>
            <w:rStyle w:val="Hypertextovodkaz"/>
            <w:noProof/>
          </w:rPr>
          <w:t>Popis existujícího právního stavu v dané oblasti</w:t>
        </w:r>
        <w:r w:rsidR="008F56A1">
          <w:rPr>
            <w:noProof/>
            <w:webHidden/>
          </w:rPr>
          <w:tab/>
        </w:r>
        <w:r w:rsidR="008F56A1">
          <w:rPr>
            <w:noProof/>
            <w:webHidden/>
          </w:rPr>
          <w:fldChar w:fldCharType="begin"/>
        </w:r>
        <w:r w:rsidR="008F56A1">
          <w:rPr>
            <w:noProof/>
            <w:webHidden/>
          </w:rPr>
          <w:instrText xml:space="preserve"> PAGEREF _Toc231310635 \h </w:instrText>
        </w:r>
        <w:r w:rsidR="008F56A1">
          <w:rPr>
            <w:noProof/>
            <w:webHidden/>
          </w:rPr>
        </w:r>
        <w:r w:rsidR="008F56A1">
          <w:rPr>
            <w:noProof/>
            <w:webHidden/>
          </w:rPr>
          <w:fldChar w:fldCharType="separate"/>
        </w:r>
        <w:r w:rsidR="008F56A1">
          <w:rPr>
            <w:noProof/>
            <w:webHidden/>
          </w:rPr>
          <w:t>5</w:t>
        </w:r>
        <w:r w:rsidR="008F56A1">
          <w:rPr>
            <w:noProof/>
            <w:webHidden/>
          </w:rPr>
          <w:fldChar w:fldCharType="end"/>
        </w:r>
      </w:hyperlink>
    </w:p>
    <w:p w14:paraId="1A34CA25" w14:textId="312BCA88"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6" w:history="1">
        <w:r w:rsidR="008F56A1" w:rsidRPr="00B05431">
          <w:rPr>
            <w:rStyle w:val="Hypertextovodkaz"/>
            <w:noProof/>
          </w:rPr>
          <w:t>1.4</w:t>
        </w:r>
        <w:r w:rsidR="008F56A1">
          <w:rPr>
            <w:rFonts w:asciiTheme="minorHAnsi" w:eastAsiaTheme="minorEastAsia" w:hAnsiTheme="minorHAnsi" w:cstheme="minorBidi"/>
            <w:noProof/>
            <w:lang w:eastAsia="cs-CZ"/>
          </w:rPr>
          <w:tab/>
        </w:r>
        <w:r w:rsidR="008F56A1" w:rsidRPr="00B05431">
          <w:rPr>
            <w:rStyle w:val="Hypertextovodkaz"/>
            <w:noProof/>
          </w:rPr>
          <w:t>Identifikace dotčených subjektů</w:t>
        </w:r>
        <w:r w:rsidR="008F56A1">
          <w:rPr>
            <w:noProof/>
            <w:webHidden/>
          </w:rPr>
          <w:tab/>
        </w:r>
        <w:r w:rsidR="008F56A1">
          <w:rPr>
            <w:noProof/>
            <w:webHidden/>
          </w:rPr>
          <w:fldChar w:fldCharType="begin"/>
        </w:r>
        <w:r w:rsidR="008F56A1">
          <w:rPr>
            <w:noProof/>
            <w:webHidden/>
          </w:rPr>
          <w:instrText xml:space="preserve"> PAGEREF _Toc231310636 \h </w:instrText>
        </w:r>
        <w:r w:rsidR="008F56A1">
          <w:rPr>
            <w:noProof/>
            <w:webHidden/>
          </w:rPr>
        </w:r>
        <w:r w:rsidR="008F56A1">
          <w:rPr>
            <w:noProof/>
            <w:webHidden/>
          </w:rPr>
          <w:fldChar w:fldCharType="separate"/>
        </w:r>
        <w:r w:rsidR="008F56A1">
          <w:rPr>
            <w:noProof/>
            <w:webHidden/>
          </w:rPr>
          <w:t>6</w:t>
        </w:r>
        <w:r w:rsidR="008F56A1">
          <w:rPr>
            <w:noProof/>
            <w:webHidden/>
          </w:rPr>
          <w:fldChar w:fldCharType="end"/>
        </w:r>
      </w:hyperlink>
    </w:p>
    <w:p w14:paraId="763BA88F" w14:textId="49A0DA08"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7" w:history="1">
        <w:r w:rsidR="008F56A1" w:rsidRPr="00B05431">
          <w:rPr>
            <w:rStyle w:val="Hypertextovodkaz"/>
            <w:noProof/>
          </w:rPr>
          <w:t>1.5</w:t>
        </w:r>
        <w:r w:rsidR="008F56A1">
          <w:rPr>
            <w:rFonts w:asciiTheme="minorHAnsi" w:eastAsiaTheme="minorEastAsia" w:hAnsiTheme="minorHAnsi" w:cstheme="minorBidi"/>
            <w:noProof/>
            <w:lang w:eastAsia="cs-CZ"/>
          </w:rPr>
          <w:tab/>
        </w:r>
        <w:r w:rsidR="008F56A1" w:rsidRPr="00B05431">
          <w:rPr>
            <w:rStyle w:val="Hypertextovodkaz"/>
            <w:noProof/>
          </w:rPr>
          <w:t>Popis cílového stavu</w:t>
        </w:r>
        <w:r w:rsidR="008F56A1">
          <w:rPr>
            <w:noProof/>
            <w:webHidden/>
          </w:rPr>
          <w:tab/>
        </w:r>
        <w:r w:rsidR="008F56A1">
          <w:rPr>
            <w:noProof/>
            <w:webHidden/>
          </w:rPr>
          <w:fldChar w:fldCharType="begin"/>
        </w:r>
        <w:r w:rsidR="008F56A1">
          <w:rPr>
            <w:noProof/>
            <w:webHidden/>
          </w:rPr>
          <w:instrText xml:space="preserve"> PAGEREF _Toc231310637 \h </w:instrText>
        </w:r>
        <w:r w:rsidR="008F56A1">
          <w:rPr>
            <w:noProof/>
            <w:webHidden/>
          </w:rPr>
        </w:r>
        <w:r w:rsidR="008F56A1">
          <w:rPr>
            <w:noProof/>
            <w:webHidden/>
          </w:rPr>
          <w:fldChar w:fldCharType="separate"/>
        </w:r>
        <w:r w:rsidR="008F56A1">
          <w:rPr>
            <w:noProof/>
            <w:webHidden/>
          </w:rPr>
          <w:t>6</w:t>
        </w:r>
        <w:r w:rsidR="008F56A1">
          <w:rPr>
            <w:noProof/>
            <w:webHidden/>
          </w:rPr>
          <w:fldChar w:fldCharType="end"/>
        </w:r>
      </w:hyperlink>
    </w:p>
    <w:p w14:paraId="69BE5BD9" w14:textId="30CE923E"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38" w:history="1">
        <w:r w:rsidR="008F56A1" w:rsidRPr="00B05431">
          <w:rPr>
            <w:rStyle w:val="Hypertextovodkaz"/>
            <w:noProof/>
          </w:rPr>
          <w:t>1.6</w:t>
        </w:r>
        <w:r w:rsidR="008F56A1">
          <w:rPr>
            <w:rFonts w:asciiTheme="minorHAnsi" w:eastAsiaTheme="minorEastAsia" w:hAnsiTheme="minorHAnsi" w:cstheme="minorBidi"/>
            <w:noProof/>
            <w:lang w:eastAsia="cs-CZ"/>
          </w:rPr>
          <w:tab/>
        </w:r>
        <w:r w:rsidR="008F56A1" w:rsidRPr="00B05431">
          <w:rPr>
            <w:rStyle w:val="Hypertextovodkaz"/>
            <w:noProof/>
          </w:rPr>
          <w:t>Zhodnocení rizika</w:t>
        </w:r>
        <w:r w:rsidR="008F56A1">
          <w:rPr>
            <w:noProof/>
            <w:webHidden/>
          </w:rPr>
          <w:tab/>
        </w:r>
        <w:r w:rsidR="008F56A1">
          <w:rPr>
            <w:noProof/>
            <w:webHidden/>
          </w:rPr>
          <w:fldChar w:fldCharType="begin"/>
        </w:r>
        <w:r w:rsidR="008F56A1">
          <w:rPr>
            <w:noProof/>
            <w:webHidden/>
          </w:rPr>
          <w:instrText xml:space="preserve"> PAGEREF _Toc231310638 \h </w:instrText>
        </w:r>
        <w:r w:rsidR="008F56A1">
          <w:rPr>
            <w:noProof/>
            <w:webHidden/>
          </w:rPr>
        </w:r>
        <w:r w:rsidR="008F56A1">
          <w:rPr>
            <w:noProof/>
            <w:webHidden/>
          </w:rPr>
          <w:fldChar w:fldCharType="separate"/>
        </w:r>
        <w:r w:rsidR="008F56A1">
          <w:rPr>
            <w:noProof/>
            <w:webHidden/>
          </w:rPr>
          <w:t>7</w:t>
        </w:r>
        <w:r w:rsidR="008F56A1">
          <w:rPr>
            <w:noProof/>
            <w:webHidden/>
          </w:rPr>
          <w:fldChar w:fldCharType="end"/>
        </w:r>
      </w:hyperlink>
    </w:p>
    <w:p w14:paraId="46D6953C" w14:textId="15FBED0D"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39" w:history="1">
        <w:r w:rsidR="008F56A1" w:rsidRPr="00B05431">
          <w:rPr>
            <w:rStyle w:val="Hypertextovodkaz"/>
            <w:noProof/>
          </w:rPr>
          <w:t>2.</w:t>
        </w:r>
        <w:r w:rsidR="008F56A1">
          <w:rPr>
            <w:rFonts w:asciiTheme="minorHAnsi" w:eastAsiaTheme="minorEastAsia" w:hAnsiTheme="minorHAnsi" w:cstheme="minorBidi"/>
            <w:noProof/>
            <w:lang w:eastAsia="cs-CZ"/>
          </w:rPr>
          <w:tab/>
        </w:r>
        <w:r w:rsidR="008F56A1" w:rsidRPr="00B05431">
          <w:rPr>
            <w:rStyle w:val="Hypertextovodkaz"/>
            <w:noProof/>
          </w:rPr>
          <w:t>Návrh variant řešení a vyhodnocení jejich nákladů a přínosů</w:t>
        </w:r>
        <w:r w:rsidR="008F56A1">
          <w:rPr>
            <w:noProof/>
            <w:webHidden/>
          </w:rPr>
          <w:tab/>
        </w:r>
        <w:r w:rsidR="008F56A1">
          <w:rPr>
            <w:noProof/>
            <w:webHidden/>
          </w:rPr>
          <w:fldChar w:fldCharType="begin"/>
        </w:r>
        <w:r w:rsidR="008F56A1">
          <w:rPr>
            <w:noProof/>
            <w:webHidden/>
          </w:rPr>
          <w:instrText xml:space="preserve"> PAGEREF _Toc231310639 \h </w:instrText>
        </w:r>
        <w:r w:rsidR="008F56A1">
          <w:rPr>
            <w:noProof/>
            <w:webHidden/>
          </w:rPr>
        </w:r>
        <w:r w:rsidR="008F56A1">
          <w:rPr>
            <w:noProof/>
            <w:webHidden/>
          </w:rPr>
          <w:fldChar w:fldCharType="separate"/>
        </w:r>
        <w:r w:rsidR="008F56A1">
          <w:rPr>
            <w:noProof/>
            <w:webHidden/>
          </w:rPr>
          <w:t>7</w:t>
        </w:r>
        <w:r w:rsidR="008F56A1">
          <w:rPr>
            <w:noProof/>
            <w:webHidden/>
          </w:rPr>
          <w:fldChar w:fldCharType="end"/>
        </w:r>
      </w:hyperlink>
    </w:p>
    <w:p w14:paraId="3127ECE0" w14:textId="2A9177D2"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40" w:history="1">
        <w:r w:rsidR="008F56A1" w:rsidRPr="00B05431">
          <w:rPr>
            <w:rStyle w:val="Hypertextovodkaz"/>
            <w:noProof/>
          </w:rPr>
          <w:t>2.1</w:t>
        </w:r>
        <w:r w:rsidR="008F56A1">
          <w:rPr>
            <w:rFonts w:asciiTheme="minorHAnsi" w:eastAsiaTheme="minorEastAsia" w:hAnsiTheme="minorHAnsi" w:cstheme="minorBidi"/>
            <w:noProof/>
            <w:lang w:eastAsia="cs-CZ"/>
          </w:rPr>
          <w:tab/>
        </w:r>
        <w:r w:rsidR="008F56A1" w:rsidRPr="00B05431">
          <w:rPr>
            <w:rStyle w:val="Hypertextovodkaz"/>
            <w:noProof/>
          </w:rPr>
          <w:t>Způsob hodnocení dopadů</w:t>
        </w:r>
        <w:r w:rsidR="008F56A1">
          <w:rPr>
            <w:noProof/>
            <w:webHidden/>
          </w:rPr>
          <w:tab/>
        </w:r>
        <w:r w:rsidR="008F56A1">
          <w:rPr>
            <w:noProof/>
            <w:webHidden/>
          </w:rPr>
          <w:fldChar w:fldCharType="begin"/>
        </w:r>
        <w:r w:rsidR="008F56A1">
          <w:rPr>
            <w:noProof/>
            <w:webHidden/>
          </w:rPr>
          <w:instrText xml:space="preserve"> PAGEREF _Toc231310640 \h </w:instrText>
        </w:r>
        <w:r w:rsidR="008F56A1">
          <w:rPr>
            <w:noProof/>
            <w:webHidden/>
          </w:rPr>
        </w:r>
        <w:r w:rsidR="008F56A1">
          <w:rPr>
            <w:noProof/>
            <w:webHidden/>
          </w:rPr>
          <w:fldChar w:fldCharType="separate"/>
        </w:r>
        <w:r w:rsidR="008F56A1">
          <w:rPr>
            <w:noProof/>
            <w:webHidden/>
          </w:rPr>
          <w:t>7</w:t>
        </w:r>
        <w:r w:rsidR="008F56A1">
          <w:rPr>
            <w:noProof/>
            <w:webHidden/>
          </w:rPr>
          <w:fldChar w:fldCharType="end"/>
        </w:r>
      </w:hyperlink>
    </w:p>
    <w:p w14:paraId="63B70B30" w14:textId="7243D91C"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41" w:history="1">
        <w:r w:rsidR="008F56A1" w:rsidRPr="00B05431">
          <w:rPr>
            <w:rStyle w:val="Hypertextovodkaz"/>
            <w:noProof/>
          </w:rPr>
          <w:t>2.2</w:t>
        </w:r>
        <w:r w:rsidR="008F56A1">
          <w:rPr>
            <w:rFonts w:asciiTheme="minorHAnsi" w:eastAsiaTheme="minorEastAsia" w:hAnsiTheme="minorHAnsi" w:cstheme="minorBidi"/>
            <w:noProof/>
            <w:lang w:eastAsia="cs-CZ"/>
          </w:rPr>
          <w:tab/>
        </w:r>
        <w:r w:rsidR="008F56A1" w:rsidRPr="00B05431">
          <w:rPr>
            <w:rStyle w:val="Hypertextovodkaz"/>
            <w:noProof/>
          </w:rPr>
          <w:t>Seznam řešených problémů:</w:t>
        </w:r>
        <w:r w:rsidR="008F56A1">
          <w:rPr>
            <w:noProof/>
            <w:webHidden/>
          </w:rPr>
          <w:tab/>
        </w:r>
        <w:r w:rsidR="008F56A1">
          <w:rPr>
            <w:noProof/>
            <w:webHidden/>
          </w:rPr>
          <w:fldChar w:fldCharType="begin"/>
        </w:r>
        <w:r w:rsidR="008F56A1">
          <w:rPr>
            <w:noProof/>
            <w:webHidden/>
          </w:rPr>
          <w:instrText xml:space="preserve"> PAGEREF _Toc231310641 \h </w:instrText>
        </w:r>
        <w:r w:rsidR="008F56A1">
          <w:rPr>
            <w:noProof/>
            <w:webHidden/>
          </w:rPr>
        </w:r>
        <w:r w:rsidR="008F56A1">
          <w:rPr>
            <w:noProof/>
            <w:webHidden/>
          </w:rPr>
          <w:fldChar w:fldCharType="separate"/>
        </w:r>
        <w:r w:rsidR="008F56A1">
          <w:rPr>
            <w:noProof/>
            <w:webHidden/>
          </w:rPr>
          <w:t>7</w:t>
        </w:r>
        <w:r w:rsidR="008F56A1">
          <w:rPr>
            <w:noProof/>
            <w:webHidden/>
          </w:rPr>
          <w:fldChar w:fldCharType="end"/>
        </w:r>
      </w:hyperlink>
    </w:p>
    <w:p w14:paraId="00352B06" w14:textId="4F7CFAFE" w:rsidR="008F56A1" w:rsidRDefault="00C904AE">
      <w:pPr>
        <w:pStyle w:val="Obsah3"/>
        <w:tabs>
          <w:tab w:val="right" w:leader="dot" w:pos="9062"/>
        </w:tabs>
        <w:rPr>
          <w:rFonts w:asciiTheme="minorHAnsi" w:eastAsiaTheme="minorEastAsia" w:hAnsiTheme="minorHAnsi" w:cstheme="minorBidi"/>
          <w:noProof/>
          <w:lang w:eastAsia="cs-CZ"/>
        </w:rPr>
      </w:pPr>
      <w:hyperlink w:anchor="_Toc231310642" w:history="1">
        <w:r w:rsidR="008F56A1" w:rsidRPr="00B05431">
          <w:rPr>
            <w:rStyle w:val="Hypertextovodkaz"/>
            <w:b/>
            <w:noProof/>
          </w:rPr>
          <w:t>Snížení limitů na úplatu penzijních společností</w:t>
        </w:r>
        <w:r w:rsidR="008F56A1">
          <w:rPr>
            <w:noProof/>
            <w:webHidden/>
          </w:rPr>
          <w:tab/>
        </w:r>
        <w:r w:rsidR="008F56A1">
          <w:rPr>
            <w:noProof/>
            <w:webHidden/>
          </w:rPr>
          <w:fldChar w:fldCharType="begin"/>
        </w:r>
        <w:r w:rsidR="008F56A1">
          <w:rPr>
            <w:noProof/>
            <w:webHidden/>
          </w:rPr>
          <w:instrText xml:space="preserve"> PAGEREF _Toc231310642 \h </w:instrText>
        </w:r>
        <w:r w:rsidR="008F56A1">
          <w:rPr>
            <w:noProof/>
            <w:webHidden/>
          </w:rPr>
        </w:r>
        <w:r w:rsidR="008F56A1">
          <w:rPr>
            <w:noProof/>
            <w:webHidden/>
          </w:rPr>
          <w:fldChar w:fldCharType="separate"/>
        </w:r>
        <w:r w:rsidR="008F56A1">
          <w:rPr>
            <w:noProof/>
            <w:webHidden/>
          </w:rPr>
          <w:t>8</w:t>
        </w:r>
        <w:r w:rsidR="008F56A1">
          <w:rPr>
            <w:noProof/>
            <w:webHidden/>
          </w:rPr>
          <w:fldChar w:fldCharType="end"/>
        </w:r>
      </w:hyperlink>
    </w:p>
    <w:p w14:paraId="12C03EF4" w14:textId="17D0133D" w:rsidR="008F56A1" w:rsidRDefault="00C904AE">
      <w:pPr>
        <w:pStyle w:val="Obsah3"/>
        <w:tabs>
          <w:tab w:val="right" w:leader="dot" w:pos="9062"/>
        </w:tabs>
        <w:rPr>
          <w:rFonts w:asciiTheme="minorHAnsi" w:eastAsiaTheme="minorEastAsia" w:hAnsiTheme="minorHAnsi" w:cstheme="minorBidi"/>
          <w:noProof/>
          <w:lang w:eastAsia="cs-CZ"/>
        </w:rPr>
      </w:pPr>
      <w:hyperlink w:anchor="_Toc231310643" w:history="1">
        <w:r w:rsidR="008F56A1" w:rsidRPr="00B05431">
          <w:rPr>
            <w:rStyle w:val="Hypertextovodkaz"/>
            <w:b/>
            <w:noProof/>
          </w:rPr>
          <w:t>Snížení podmínky nároku na státní příspěvek spočívající v minimální výši příspěvku účastníka u nezletilých účastníků</w:t>
        </w:r>
        <w:r w:rsidR="008F56A1">
          <w:rPr>
            <w:noProof/>
            <w:webHidden/>
          </w:rPr>
          <w:tab/>
        </w:r>
        <w:r w:rsidR="008F56A1">
          <w:rPr>
            <w:noProof/>
            <w:webHidden/>
          </w:rPr>
          <w:fldChar w:fldCharType="begin"/>
        </w:r>
        <w:r w:rsidR="008F56A1">
          <w:rPr>
            <w:noProof/>
            <w:webHidden/>
          </w:rPr>
          <w:instrText xml:space="preserve"> PAGEREF _Toc231310643 \h </w:instrText>
        </w:r>
        <w:r w:rsidR="008F56A1">
          <w:rPr>
            <w:noProof/>
            <w:webHidden/>
          </w:rPr>
        </w:r>
        <w:r w:rsidR="008F56A1">
          <w:rPr>
            <w:noProof/>
            <w:webHidden/>
          </w:rPr>
          <w:fldChar w:fldCharType="separate"/>
        </w:r>
        <w:r w:rsidR="008F56A1">
          <w:rPr>
            <w:noProof/>
            <w:webHidden/>
          </w:rPr>
          <w:t>16</w:t>
        </w:r>
        <w:r w:rsidR="008F56A1">
          <w:rPr>
            <w:noProof/>
            <w:webHidden/>
          </w:rPr>
          <w:fldChar w:fldCharType="end"/>
        </w:r>
      </w:hyperlink>
    </w:p>
    <w:p w14:paraId="743BCBD7" w14:textId="0F077A51" w:rsidR="008F56A1" w:rsidRDefault="00C904AE">
      <w:pPr>
        <w:pStyle w:val="Obsah3"/>
        <w:tabs>
          <w:tab w:val="right" w:leader="dot" w:pos="9062"/>
        </w:tabs>
        <w:rPr>
          <w:rFonts w:asciiTheme="minorHAnsi" w:eastAsiaTheme="minorEastAsia" w:hAnsiTheme="minorHAnsi" w:cstheme="minorBidi"/>
          <w:noProof/>
          <w:lang w:eastAsia="cs-CZ"/>
        </w:rPr>
      </w:pPr>
      <w:hyperlink w:anchor="_Toc231310644" w:history="1">
        <w:r w:rsidR="008F56A1" w:rsidRPr="00B05431">
          <w:rPr>
            <w:rStyle w:val="Hypertextovodkaz"/>
            <w:b/>
            <w:noProof/>
          </w:rPr>
          <w:t>Poskytování procentuálně vyššího státního příspěvku nezletilým a mladým dospělým účastníkům</w:t>
        </w:r>
        <w:r w:rsidR="008F56A1">
          <w:rPr>
            <w:noProof/>
            <w:webHidden/>
          </w:rPr>
          <w:tab/>
        </w:r>
        <w:r w:rsidR="008F56A1">
          <w:rPr>
            <w:noProof/>
            <w:webHidden/>
          </w:rPr>
          <w:fldChar w:fldCharType="begin"/>
        </w:r>
        <w:r w:rsidR="008F56A1">
          <w:rPr>
            <w:noProof/>
            <w:webHidden/>
          </w:rPr>
          <w:instrText xml:space="preserve"> PAGEREF _Toc231310644 \h </w:instrText>
        </w:r>
        <w:r w:rsidR="008F56A1">
          <w:rPr>
            <w:noProof/>
            <w:webHidden/>
          </w:rPr>
        </w:r>
        <w:r w:rsidR="008F56A1">
          <w:rPr>
            <w:noProof/>
            <w:webHidden/>
          </w:rPr>
          <w:fldChar w:fldCharType="separate"/>
        </w:r>
        <w:r w:rsidR="008F56A1">
          <w:rPr>
            <w:noProof/>
            <w:webHidden/>
          </w:rPr>
          <w:t>21</w:t>
        </w:r>
        <w:r w:rsidR="008F56A1">
          <w:rPr>
            <w:noProof/>
            <w:webHidden/>
          </w:rPr>
          <w:fldChar w:fldCharType="end"/>
        </w:r>
      </w:hyperlink>
    </w:p>
    <w:p w14:paraId="3507DDF7" w14:textId="1A79A413"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45" w:history="1">
        <w:r w:rsidR="008F56A1" w:rsidRPr="00B05431">
          <w:rPr>
            <w:rStyle w:val="Hypertextovodkaz"/>
            <w:noProof/>
          </w:rPr>
          <w:t>3.</w:t>
        </w:r>
        <w:r w:rsidR="008F56A1">
          <w:rPr>
            <w:rFonts w:asciiTheme="minorHAnsi" w:eastAsiaTheme="minorEastAsia" w:hAnsiTheme="minorHAnsi" w:cstheme="minorBidi"/>
            <w:noProof/>
            <w:lang w:eastAsia="cs-CZ"/>
          </w:rPr>
          <w:tab/>
        </w:r>
        <w:r w:rsidR="008F56A1" w:rsidRPr="00B05431">
          <w:rPr>
            <w:rStyle w:val="Hypertextovodkaz"/>
            <w:noProof/>
          </w:rPr>
          <w:t>Výběr nejvhodnějšího řešení</w:t>
        </w:r>
        <w:r w:rsidR="008F56A1">
          <w:rPr>
            <w:noProof/>
            <w:webHidden/>
          </w:rPr>
          <w:tab/>
        </w:r>
        <w:r w:rsidR="008F56A1">
          <w:rPr>
            <w:noProof/>
            <w:webHidden/>
          </w:rPr>
          <w:fldChar w:fldCharType="begin"/>
        </w:r>
        <w:r w:rsidR="008F56A1">
          <w:rPr>
            <w:noProof/>
            <w:webHidden/>
          </w:rPr>
          <w:instrText xml:space="preserve"> PAGEREF _Toc231310645 \h </w:instrText>
        </w:r>
        <w:r w:rsidR="008F56A1">
          <w:rPr>
            <w:noProof/>
            <w:webHidden/>
          </w:rPr>
        </w:r>
        <w:r w:rsidR="008F56A1">
          <w:rPr>
            <w:noProof/>
            <w:webHidden/>
          </w:rPr>
          <w:fldChar w:fldCharType="separate"/>
        </w:r>
        <w:r w:rsidR="008F56A1">
          <w:rPr>
            <w:noProof/>
            <w:webHidden/>
          </w:rPr>
          <w:t>29</w:t>
        </w:r>
        <w:r w:rsidR="008F56A1">
          <w:rPr>
            <w:noProof/>
            <w:webHidden/>
          </w:rPr>
          <w:fldChar w:fldCharType="end"/>
        </w:r>
      </w:hyperlink>
    </w:p>
    <w:p w14:paraId="09DB1723" w14:textId="575A13A4"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46" w:history="1">
        <w:r w:rsidR="008F56A1" w:rsidRPr="00B05431">
          <w:rPr>
            <w:rStyle w:val="Hypertextovodkaz"/>
            <w:noProof/>
          </w:rPr>
          <w:t>4.</w:t>
        </w:r>
        <w:r w:rsidR="008F56A1">
          <w:rPr>
            <w:rFonts w:asciiTheme="minorHAnsi" w:eastAsiaTheme="minorEastAsia" w:hAnsiTheme="minorHAnsi" w:cstheme="minorBidi"/>
            <w:noProof/>
            <w:lang w:eastAsia="cs-CZ"/>
          </w:rPr>
          <w:tab/>
        </w:r>
        <w:r w:rsidR="008F56A1" w:rsidRPr="00B05431">
          <w:rPr>
            <w:rStyle w:val="Hypertextovodkaz"/>
            <w:noProof/>
          </w:rPr>
          <w:t>Implementace doporučené varianty a vynucování</w:t>
        </w:r>
        <w:r w:rsidR="008F56A1">
          <w:rPr>
            <w:noProof/>
            <w:webHidden/>
          </w:rPr>
          <w:tab/>
        </w:r>
        <w:r w:rsidR="008F56A1">
          <w:rPr>
            <w:noProof/>
            <w:webHidden/>
          </w:rPr>
          <w:fldChar w:fldCharType="begin"/>
        </w:r>
        <w:r w:rsidR="008F56A1">
          <w:rPr>
            <w:noProof/>
            <w:webHidden/>
          </w:rPr>
          <w:instrText xml:space="preserve"> PAGEREF _Toc231310646 \h </w:instrText>
        </w:r>
        <w:r w:rsidR="008F56A1">
          <w:rPr>
            <w:noProof/>
            <w:webHidden/>
          </w:rPr>
        </w:r>
        <w:r w:rsidR="008F56A1">
          <w:rPr>
            <w:noProof/>
            <w:webHidden/>
          </w:rPr>
          <w:fldChar w:fldCharType="separate"/>
        </w:r>
        <w:r w:rsidR="008F56A1">
          <w:rPr>
            <w:noProof/>
            <w:webHidden/>
          </w:rPr>
          <w:t>29</w:t>
        </w:r>
        <w:r w:rsidR="008F56A1">
          <w:rPr>
            <w:noProof/>
            <w:webHidden/>
          </w:rPr>
          <w:fldChar w:fldCharType="end"/>
        </w:r>
      </w:hyperlink>
    </w:p>
    <w:p w14:paraId="35135B5A" w14:textId="10AF3BD4"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47" w:history="1">
        <w:r w:rsidR="008F56A1" w:rsidRPr="00B05431">
          <w:rPr>
            <w:rStyle w:val="Hypertextovodkaz"/>
            <w:noProof/>
          </w:rPr>
          <w:t>5.</w:t>
        </w:r>
        <w:r w:rsidR="008F56A1">
          <w:rPr>
            <w:rFonts w:asciiTheme="minorHAnsi" w:eastAsiaTheme="minorEastAsia" w:hAnsiTheme="minorHAnsi" w:cstheme="minorBidi"/>
            <w:noProof/>
            <w:lang w:eastAsia="cs-CZ"/>
          </w:rPr>
          <w:tab/>
        </w:r>
        <w:r w:rsidR="008F56A1" w:rsidRPr="00B05431">
          <w:rPr>
            <w:rStyle w:val="Hypertextovodkaz"/>
            <w:noProof/>
          </w:rPr>
          <w:t>Přezkum účinnosti regulace</w:t>
        </w:r>
        <w:r w:rsidR="008F56A1">
          <w:rPr>
            <w:noProof/>
            <w:webHidden/>
          </w:rPr>
          <w:tab/>
        </w:r>
        <w:r w:rsidR="008F56A1">
          <w:rPr>
            <w:noProof/>
            <w:webHidden/>
          </w:rPr>
          <w:fldChar w:fldCharType="begin"/>
        </w:r>
        <w:r w:rsidR="008F56A1">
          <w:rPr>
            <w:noProof/>
            <w:webHidden/>
          </w:rPr>
          <w:instrText xml:space="preserve"> PAGEREF _Toc231310647 \h </w:instrText>
        </w:r>
        <w:r w:rsidR="008F56A1">
          <w:rPr>
            <w:noProof/>
            <w:webHidden/>
          </w:rPr>
        </w:r>
        <w:r w:rsidR="008F56A1">
          <w:rPr>
            <w:noProof/>
            <w:webHidden/>
          </w:rPr>
          <w:fldChar w:fldCharType="separate"/>
        </w:r>
        <w:r w:rsidR="008F56A1">
          <w:rPr>
            <w:noProof/>
            <w:webHidden/>
          </w:rPr>
          <w:t>29</w:t>
        </w:r>
        <w:r w:rsidR="008F56A1">
          <w:rPr>
            <w:noProof/>
            <w:webHidden/>
          </w:rPr>
          <w:fldChar w:fldCharType="end"/>
        </w:r>
      </w:hyperlink>
    </w:p>
    <w:p w14:paraId="42A46A08" w14:textId="506691DF"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48" w:history="1">
        <w:r w:rsidR="008F56A1" w:rsidRPr="00B05431">
          <w:rPr>
            <w:rStyle w:val="Hypertextovodkaz"/>
            <w:noProof/>
          </w:rPr>
          <w:t>6.</w:t>
        </w:r>
        <w:r w:rsidR="008F56A1">
          <w:rPr>
            <w:rFonts w:asciiTheme="minorHAnsi" w:eastAsiaTheme="minorEastAsia" w:hAnsiTheme="minorHAnsi" w:cstheme="minorBidi"/>
            <w:noProof/>
            <w:lang w:eastAsia="cs-CZ"/>
          </w:rPr>
          <w:tab/>
        </w:r>
        <w:r w:rsidR="008F56A1" w:rsidRPr="00B05431">
          <w:rPr>
            <w:rStyle w:val="Hypertextovodkaz"/>
            <w:noProof/>
          </w:rPr>
          <w:t>Konzultace a zdroje dat</w:t>
        </w:r>
        <w:r w:rsidR="008F56A1">
          <w:rPr>
            <w:noProof/>
            <w:webHidden/>
          </w:rPr>
          <w:tab/>
        </w:r>
        <w:r w:rsidR="008F56A1">
          <w:rPr>
            <w:noProof/>
            <w:webHidden/>
          </w:rPr>
          <w:fldChar w:fldCharType="begin"/>
        </w:r>
        <w:r w:rsidR="008F56A1">
          <w:rPr>
            <w:noProof/>
            <w:webHidden/>
          </w:rPr>
          <w:instrText xml:space="preserve"> PAGEREF _Toc231310648 \h </w:instrText>
        </w:r>
        <w:r w:rsidR="008F56A1">
          <w:rPr>
            <w:noProof/>
            <w:webHidden/>
          </w:rPr>
        </w:r>
        <w:r w:rsidR="008F56A1">
          <w:rPr>
            <w:noProof/>
            <w:webHidden/>
          </w:rPr>
          <w:fldChar w:fldCharType="separate"/>
        </w:r>
        <w:r w:rsidR="008F56A1">
          <w:rPr>
            <w:noProof/>
            <w:webHidden/>
          </w:rPr>
          <w:t>29</w:t>
        </w:r>
        <w:r w:rsidR="008F56A1">
          <w:rPr>
            <w:noProof/>
            <w:webHidden/>
          </w:rPr>
          <w:fldChar w:fldCharType="end"/>
        </w:r>
      </w:hyperlink>
    </w:p>
    <w:p w14:paraId="388482AF" w14:textId="3841A548" w:rsidR="008F56A1" w:rsidRDefault="00C904AE">
      <w:pPr>
        <w:pStyle w:val="Obsah1"/>
        <w:tabs>
          <w:tab w:val="left" w:pos="440"/>
          <w:tab w:val="right" w:leader="dot" w:pos="9062"/>
        </w:tabs>
        <w:rPr>
          <w:rFonts w:asciiTheme="minorHAnsi" w:eastAsiaTheme="minorEastAsia" w:hAnsiTheme="minorHAnsi" w:cstheme="minorBidi"/>
          <w:noProof/>
          <w:lang w:eastAsia="cs-CZ"/>
        </w:rPr>
      </w:pPr>
      <w:hyperlink w:anchor="_Toc231310649" w:history="1">
        <w:r w:rsidR="008F56A1" w:rsidRPr="00B05431">
          <w:rPr>
            <w:rStyle w:val="Hypertextovodkaz"/>
            <w:noProof/>
          </w:rPr>
          <w:t>7.</w:t>
        </w:r>
        <w:r w:rsidR="008F56A1">
          <w:rPr>
            <w:rFonts w:asciiTheme="minorHAnsi" w:eastAsiaTheme="minorEastAsia" w:hAnsiTheme="minorHAnsi" w:cstheme="minorBidi"/>
            <w:noProof/>
            <w:lang w:eastAsia="cs-CZ"/>
          </w:rPr>
          <w:tab/>
        </w:r>
        <w:r w:rsidR="008F56A1" w:rsidRPr="00B05431">
          <w:rPr>
            <w:rStyle w:val="Hypertextovodkaz"/>
            <w:noProof/>
          </w:rPr>
          <w:t>Přílohy</w:t>
        </w:r>
        <w:r w:rsidR="008F56A1">
          <w:rPr>
            <w:noProof/>
            <w:webHidden/>
          </w:rPr>
          <w:tab/>
        </w:r>
        <w:r w:rsidR="008F56A1">
          <w:rPr>
            <w:noProof/>
            <w:webHidden/>
          </w:rPr>
          <w:fldChar w:fldCharType="begin"/>
        </w:r>
        <w:r w:rsidR="008F56A1">
          <w:rPr>
            <w:noProof/>
            <w:webHidden/>
          </w:rPr>
          <w:instrText xml:space="preserve"> PAGEREF _Toc231310649 \h </w:instrText>
        </w:r>
        <w:r w:rsidR="008F56A1">
          <w:rPr>
            <w:noProof/>
            <w:webHidden/>
          </w:rPr>
        </w:r>
        <w:r w:rsidR="008F56A1">
          <w:rPr>
            <w:noProof/>
            <w:webHidden/>
          </w:rPr>
          <w:fldChar w:fldCharType="separate"/>
        </w:r>
        <w:r w:rsidR="008F56A1">
          <w:rPr>
            <w:noProof/>
            <w:webHidden/>
          </w:rPr>
          <w:t>30</w:t>
        </w:r>
        <w:r w:rsidR="008F56A1">
          <w:rPr>
            <w:noProof/>
            <w:webHidden/>
          </w:rPr>
          <w:fldChar w:fldCharType="end"/>
        </w:r>
      </w:hyperlink>
    </w:p>
    <w:p w14:paraId="4E963BE1" w14:textId="74F71970"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50" w:history="1">
        <w:r w:rsidR="008F56A1" w:rsidRPr="00B05431">
          <w:rPr>
            <w:rStyle w:val="Hypertextovodkaz"/>
            <w:noProof/>
          </w:rPr>
          <w:t>7.1</w:t>
        </w:r>
        <w:r w:rsidR="008F56A1">
          <w:rPr>
            <w:rFonts w:asciiTheme="minorHAnsi" w:eastAsiaTheme="minorEastAsia" w:hAnsiTheme="minorHAnsi" w:cstheme="minorBidi"/>
            <w:noProof/>
            <w:lang w:eastAsia="cs-CZ"/>
          </w:rPr>
          <w:tab/>
        </w:r>
        <w:r w:rsidR="008F56A1" w:rsidRPr="00B05431">
          <w:rPr>
            <w:rStyle w:val="Hypertextovodkaz"/>
            <w:noProof/>
          </w:rPr>
          <w:t>Seznam tabulek a grafů</w:t>
        </w:r>
        <w:r w:rsidR="008F56A1">
          <w:rPr>
            <w:noProof/>
            <w:webHidden/>
          </w:rPr>
          <w:tab/>
        </w:r>
        <w:r w:rsidR="008F56A1">
          <w:rPr>
            <w:noProof/>
            <w:webHidden/>
          </w:rPr>
          <w:fldChar w:fldCharType="begin"/>
        </w:r>
        <w:r w:rsidR="008F56A1">
          <w:rPr>
            <w:noProof/>
            <w:webHidden/>
          </w:rPr>
          <w:instrText xml:space="preserve"> PAGEREF _Toc231310650 \h </w:instrText>
        </w:r>
        <w:r w:rsidR="008F56A1">
          <w:rPr>
            <w:noProof/>
            <w:webHidden/>
          </w:rPr>
        </w:r>
        <w:r w:rsidR="008F56A1">
          <w:rPr>
            <w:noProof/>
            <w:webHidden/>
          </w:rPr>
          <w:fldChar w:fldCharType="separate"/>
        </w:r>
        <w:r w:rsidR="008F56A1">
          <w:rPr>
            <w:noProof/>
            <w:webHidden/>
          </w:rPr>
          <w:t>30</w:t>
        </w:r>
        <w:r w:rsidR="008F56A1">
          <w:rPr>
            <w:noProof/>
            <w:webHidden/>
          </w:rPr>
          <w:fldChar w:fldCharType="end"/>
        </w:r>
      </w:hyperlink>
    </w:p>
    <w:p w14:paraId="74840B70" w14:textId="4EC86FCB" w:rsidR="008F56A1" w:rsidRDefault="00C904AE">
      <w:pPr>
        <w:pStyle w:val="Obsah2"/>
        <w:tabs>
          <w:tab w:val="left" w:pos="880"/>
          <w:tab w:val="right" w:leader="dot" w:pos="9062"/>
        </w:tabs>
        <w:rPr>
          <w:rFonts w:asciiTheme="minorHAnsi" w:eastAsiaTheme="minorEastAsia" w:hAnsiTheme="minorHAnsi" w:cstheme="minorBidi"/>
          <w:noProof/>
          <w:lang w:eastAsia="cs-CZ"/>
        </w:rPr>
      </w:pPr>
      <w:hyperlink w:anchor="_Toc231310651" w:history="1">
        <w:r w:rsidR="008F56A1" w:rsidRPr="00B05431">
          <w:rPr>
            <w:rStyle w:val="Hypertextovodkaz"/>
            <w:noProof/>
          </w:rPr>
          <w:t>7.2</w:t>
        </w:r>
        <w:r w:rsidR="008F56A1">
          <w:rPr>
            <w:rFonts w:asciiTheme="minorHAnsi" w:eastAsiaTheme="minorEastAsia" w:hAnsiTheme="minorHAnsi" w:cstheme="minorBidi"/>
            <w:noProof/>
            <w:lang w:eastAsia="cs-CZ"/>
          </w:rPr>
          <w:tab/>
        </w:r>
        <w:r w:rsidR="008F56A1" w:rsidRPr="00B05431">
          <w:rPr>
            <w:rStyle w:val="Hypertextovodkaz"/>
            <w:noProof/>
          </w:rPr>
          <w:t>Seznam zkratek</w:t>
        </w:r>
        <w:r w:rsidR="008F56A1">
          <w:rPr>
            <w:noProof/>
            <w:webHidden/>
          </w:rPr>
          <w:tab/>
        </w:r>
        <w:r w:rsidR="008F56A1">
          <w:rPr>
            <w:noProof/>
            <w:webHidden/>
          </w:rPr>
          <w:fldChar w:fldCharType="begin"/>
        </w:r>
        <w:r w:rsidR="008F56A1">
          <w:rPr>
            <w:noProof/>
            <w:webHidden/>
          </w:rPr>
          <w:instrText xml:space="preserve"> PAGEREF _Toc231310651 \h </w:instrText>
        </w:r>
        <w:r w:rsidR="008F56A1">
          <w:rPr>
            <w:noProof/>
            <w:webHidden/>
          </w:rPr>
        </w:r>
        <w:r w:rsidR="008F56A1">
          <w:rPr>
            <w:noProof/>
            <w:webHidden/>
          </w:rPr>
          <w:fldChar w:fldCharType="separate"/>
        </w:r>
        <w:r w:rsidR="008F56A1">
          <w:rPr>
            <w:noProof/>
            <w:webHidden/>
          </w:rPr>
          <w:t>31</w:t>
        </w:r>
        <w:r w:rsidR="008F56A1">
          <w:rPr>
            <w:noProof/>
            <w:webHidden/>
          </w:rPr>
          <w:fldChar w:fldCharType="end"/>
        </w:r>
      </w:hyperlink>
    </w:p>
    <w:p w14:paraId="7B2317FF" w14:textId="77777777" w:rsidR="00F421E9" w:rsidRPr="00F421E9" w:rsidRDefault="00F421E9" w:rsidP="00EF1835">
      <w:pPr>
        <w:pStyle w:val="Obsah2"/>
        <w:tabs>
          <w:tab w:val="left" w:pos="880"/>
          <w:tab w:val="right" w:leader="dot" w:pos="9457"/>
        </w:tabs>
        <w:spacing w:after="120" w:line="240" w:lineRule="auto"/>
        <w:rPr>
          <w:rFonts w:asciiTheme="minorHAnsi" w:eastAsiaTheme="minorEastAsia" w:hAnsiTheme="minorHAnsi" w:cstheme="minorBidi"/>
          <w:noProof/>
          <w:lang w:eastAsia="cs-CZ"/>
        </w:rPr>
      </w:pPr>
      <w:r>
        <w:fldChar w:fldCharType="end"/>
      </w:r>
    </w:p>
    <w:p w14:paraId="0C5C8627" w14:textId="77777777" w:rsidR="00F421E9" w:rsidRDefault="00F421E9">
      <w:pPr>
        <w:suppressAutoHyphens w:val="0"/>
        <w:spacing w:after="0" w:line="240" w:lineRule="auto"/>
        <w:rPr>
          <w:rFonts w:eastAsia="Calibri"/>
          <w:b/>
          <w:sz w:val="28"/>
        </w:rPr>
      </w:pPr>
      <w:r>
        <w:br w:type="page"/>
      </w:r>
    </w:p>
    <w:p w14:paraId="54934B07" w14:textId="77777777" w:rsidR="001A5E0D" w:rsidRDefault="006446EF" w:rsidP="00444A20">
      <w:pPr>
        <w:pStyle w:val="Nadpis1"/>
      </w:pPr>
      <w:bookmarkStart w:id="38" w:name="_Toc202178959"/>
      <w:bookmarkStart w:id="39" w:name="_Toc227742387"/>
      <w:bookmarkStart w:id="40" w:name="_Toc229662649"/>
      <w:bookmarkStart w:id="41" w:name="_Toc231310632"/>
      <w:r>
        <w:lastRenderedPageBreak/>
        <w:t>Důvod předložení a cíle</w:t>
      </w:r>
      <w:bookmarkEnd w:id="22"/>
      <w:bookmarkEnd w:id="23"/>
      <w:bookmarkEnd w:id="24"/>
      <w:bookmarkEnd w:id="25"/>
      <w:bookmarkEnd w:id="26"/>
      <w:bookmarkEnd w:id="27"/>
      <w:bookmarkEnd w:id="28"/>
      <w:bookmarkEnd w:id="29"/>
      <w:bookmarkEnd w:id="30"/>
      <w:bookmarkEnd w:id="31"/>
      <w:bookmarkEnd w:id="38"/>
      <w:bookmarkEnd w:id="39"/>
      <w:bookmarkEnd w:id="40"/>
      <w:bookmarkEnd w:id="41"/>
    </w:p>
    <w:p w14:paraId="31B2229C" w14:textId="77777777" w:rsidR="001A5E0D" w:rsidRDefault="001A5E0D" w:rsidP="00AC011E">
      <w:pPr>
        <w:pStyle w:val="Nadpis2"/>
      </w:pPr>
      <w:bookmarkStart w:id="42" w:name="_Toc418509331"/>
      <w:bookmarkStart w:id="43" w:name="_Toc418511038"/>
      <w:bookmarkStart w:id="44" w:name="_Toc418511455"/>
      <w:bookmarkStart w:id="45" w:name="_Toc423508404"/>
      <w:bookmarkStart w:id="46" w:name="_Toc3289547"/>
      <w:bookmarkStart w:id="47" w:name="_Toc4587307"/>
      <w:bookmarkStart w:id="48" w:name="_Toc8730933"/>
      <w:bookmarkStart w:id="49" w:name="_Toc11764010"/>
      <w:bookmarkStart w:id="50" w:name="_Toc24964552"/>
      <w:bookmarkStart w:id="51" w:name="_Toc190782515"/>
      <w:bookmarkStart w:id="52" w:name="_Toc202178960"/>
      <w:bookmarkStart w:id="53" w:name="_Toc227742388"/>
      <w:bookmarkStart w:id="54" w:name="_Toc229662650"/>
      <w:bookmarkStart w:id="55" w:name="_Toc231310633"/>
      <w:r w:rsidRPr="00AC011E">
        <w:t>Název</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9E69710" w14:textId="77777777" w:rsidR="00CC0F8D" w:rsidRPr="00ED5FBB" w:rsidRDefault="00BB39E2" w:rsidP="004E4403">
      <w:pPr>
        <w:pStyle w:val="Bezmezer"/>
        <w:spacing w:before="0" w:after="120"/>
      </w:pPr>
      <w:r w:rsidRPr="00EC4064">
        <w:rPr>
          <w:rFonts w:asciiTheme="minorHAnsi" w:hAnsiTheme="minorHAnsi" w:cstheme="minorHAnsi"/>
          <w:bCs/>
        </w:rPr>
        <w:t>Návrh zákona, kterým se mění zákon č. 427/2011 Sb., o doplňkovém penzijním spoření</w:t>
      </w:r>
      <w:r w:rsidR="00C450D9">
        <w:rPr>
          <w:rFonts w:asciiTheme="minorHAnsi" w:hAnsiTheme="minorHAnsi" w:cstheme="minorHAnsi"/>
          <w:bCs/>
        </w:rPr>
        <w:t>,</w:t>
      </w:r>
      <w:r w:rsidR="00C450D9" w:rsidRPr="00C450D9">
        <w:t xml:space="preserve"> </w:t>
      </w:r>
      <w:r w:rsidR="00C450D9" w:rsidRPr="00C450D9">
        <w:rPr>
          <w:rFonts w:asciiTheme="minorHAnsi" w:hAnsiTheme="minorHAnsi" w:cstheme="minorHAnsi"/>
          <w:bCs/>
        </w:rPr>
        <w:t>ve znění pozdějších předpisů, a další související zákony</w:t>
      </w:r>
      <w:r>
        <w:rPr>
          <w:rFonts w:asciiTheme="minorHAnsi" w:hAnsiTheme="minorHAnsi" w:cstheme="minorHAnsi"/>
          <w:bCs/>
        </w:rPr>
        <w:t>.</w:t>
      </w:r>
    </w:p>
    <w:p w14:paraId="3E3DF2DD" w14:textId="77777777" w:rsidR="001A5E0D" w:rsidRDefault="001A5E0D" w:rsidP="00AC011E">
      <w:pPr>
        <w:pStyle w:val="Nadpis2"/>
      </w:pPr>
      <w:bookmarkStart w:id="56" w:name="_Toc418509332"/>
      <w:bookmarkStart w:id="57" w:name="_Toc418511039"/>
      <w:bookmarkStart w:id="58" w:name="_Toc418511456"/>
      <w:bookmarkStart w:id="59" w:name="_Toc423508405"/>
      <w:bookmarkStart w:id="60" w:name="_Toc3289548"/>
      <w:bookmarkStart w:id="61" w:name="_Toc4587308"/>
      <w:bookmarkStart w:id="62" w:name="_Toc8730934"/>
      <w:bookmarkStart w:id="63" w:name="_Toc11764011"/>
      <w:bookmarkStart w:id="64" w:name="_Toc24964553"/>
      <w:bookmarkStart w:id="65" w:name="_Toc190782516"/>
      <w:bookmarkStart w:id="66" w:name="_Toc202178961"/>
      <w:bookmarkStart w:id="67" w:name="_Toc227742389"/>
      <w:bookmarkStart w:id="68" w:name="_Toc229662651"/>
      <w:bookmarkStart w:id="69" w:name="_Toc231310634"/>
      <w:r>
        <w:t>Definice problému</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99AEF02" w14:textId="77777777" w:rsidR="00431C1F" w:rsidRDefault="00E6561F" w:rsidP="00814D58">
      <w:pPr>
        <w:spacing w:after="120"/>
        <w:jc w:val="both"/>
        <w:rPr>
          <w:szCs w:val="24"/>
        </w:rPr>
      </w:pPr>
      <w:r>
        <w:rPr>
          <w:szCs w:val="24"/>
        </w:rPr>
        <w:t>D</w:t>
      </w:r>
      <w:r w:rsidR="00814D58">
        <w:rPr>
          <w:szCs w:val="24"/>
        </w:rPr>
        <w:t>oplňkové</w:t>
      </w:r>
      <w:r>
        <w:rPr>
          <w:szCs w:val="24"/>
        </w:rPr>
        <w:t>ho</w:t>
      </w:r>
      <w:r w:rsidR="00814D58">
        <w:rPr>
          <w:szCs w:val="24"/>
        </w:rPr>
        <w:t xml:space="preserve"> penzijní</w:t>
      </w:r>
      <w:r>
        <w:rPr>
          <w:szCs w:val="24"/>
        </w:rPr>
        <w:t>ho</w:t>
      </w:r>
      <w:r w:rsidR="00814D58">
        <w:rPr>
          <w:szCs w:val="24"/>
        </w:rPr>
        <w:t xml:space="preserve"> spoření a penzijní</w:t>
      </w:r>
      <w:r>
        <w:rPr>
          <w:szCs w:val="24"/>
        </w:rPr>
        <w:t>ho</w:t>
      </w:r>
      <w:r w:rsidR="00814D58">
        <w:rPr>
          <w:szCs w:val="24"/>
        </w:rPr>
        <w:t xml:space="preserve"> připojištění se státním příspěvkem (</w:t>
      </w:r>
      <w:r w:rsidR="00814D58" w:rsidRPr="009D2306">
        <w:rPr>
          <w:szCs w:val="24"/>
        </w:rPr>
        <w:t xml:space="preserve">dále jen „doplňkový penzijní systém“) </w:t>
      </w:r>
      <w:r w:rsidRPr="009D2306">
        <w:rPr>
          <w:szCs w:val="24"/>
        </w:rPr>
        <w:t>se</w:t>
      </w:r>
      <w:r w:rsidR="00814D58" w:rsidRPr="009D2306">
        <w:rPr>
          <w:szCs w:val="24"/>
        </w:rPr>
        <w:t xml:space="preserve"> občané </w:t>
      </w:r>
      <w:r w:rsidRPr="009D2306">
        <w:rPr>
          <w:szCs w:val="24"/>
        </w:rPr>
        <w:t xml:space="preserve">účastní </w:t>
      </w:r>
      <w:r w:rsidR="00814D58" w:rsidRPr="009D2306">
        <w:rPr>
          <w:szCs w:val="24"/>
        </w:rPr>
        <w:t>dobrovolně na základě individuálně sjednaných smluv s jimi</w:t>
      </w:r>
      <w:r w:rsidR="00814D58">
        <w:rPr>
          <w:szCs w:val="24"/>
        </w:rPr>
        <w:t xml:space="preserve"> vybranou penzijní společností. V současné době (data k 31.</w:t>
      </w:r>
      <w:r w:rsidR="008D2EF0">
        <w:rPr>
          <w:szCs w:val="24"/>
        </w:rPr>
        <w:t> </w:t>
      </w:r>
      <w:r w:rsidR="00814D58">
        <w:rPr>
          <w:szCs w:val="24"/>
        </w:rPr>
        <w:t>3.</w:t>
      </w:r>
      <w:r w:rsidR="008D2EF0">
        <w:rPr>
          <w:szCs w:val="24"/>
        </w:rPr>
        <w:t> </w:t>
      </w:r>
      <w:r w:rsidR="00814D58">
        <w:rPr>
          <w:szCs w:val="24"/>
        </w:rPr>
        <w:t xml:space="preserve">2026) </w:t>
      </w:r>
      <w:r w:rsidR="00AD0463">
        <w:rPr>
          <w:szCs w:val="24"/>
        </w:rPr>
        <w:t>má sjednánu takovou smlouvu</w:t>
      </w:r>
      <w:r w:rsidR="00814D58">
        <w:rPr>
          <w:szCs w:val="24"/>
        </w:rPr>
        <w:t xml:space="preserve"> 3,9</w:t>
      </w:r>
      <w:r w:rsidR="003C108E">
        <w:rPr>
          <w:szCs w:val="24"/>
        </w:rPr>
        <w:t> </w:t>
      </w:r>
      <w:r w:rsidR="00814D58">
        <w:rPr>
          <w:szCs w:val="24"/>
        </w:rPr>
        <w:t>milionu účastníků.</w:t>
      </w:r>
      <w:r w:rsidR="00D8706C">
        <w:rPr>
          <w:szCs w:val="24"/>
        </w:rPr>
        <w:t xml:space="preserve"> </w:t>
      </w:r>
      <w:r w:rsidR="00AD0463">
        <w:rPr>
          <w:szCs w:val="24"/>
        </w:rPr>
        <w:t xml:space="preserve">Prostředky účastníků spravované penzijními společnostmi dosahují přibližně </w:t>
      </w:r>
      <w:r w:rsidR="00814D58">
        <w:rPr>
          <w:szCs w:val="24"/>
        </w:rPr>
        <w:t xml:space="preserve">660 mld. Kč. </w:t>
      </w:r>
    </w:p>
    <w:p w14:paraId="77D0210D" w14:textId="77777777" w:rsidR="006D5CEA" w:rsidRDefault="00814D58" w:rsidP="00814D58">
      <w:pPr>
        <w:spacing w:after="120"/>
        <w:jc w:val="both"/>
        <w:rPr>
          <w:szCs w:val="24"/>
        </w:rPr>
      </w:pPr>
      <w:r>
        <w:rPr>
          <w:szCs w:val="24"/>
        </w:rPr>
        <w:t xml:space="preserve">Výhodou </w:t>
      </w:r>
      <w:r w:rsidR="00A36AAB" w:rsidRPr="009D2306">
        <w:rPr>
          <w:szCs w:val="24"/>
        </w:rPr>
        <w:t>doplňkového penzijního systému</w:t>
      </w:r>
      <w:r w:rsidRPr="009D2306">
        <w:rPr>
          <w:szCs w:val="24"/>
        </w:rPr>
        <w:t xml:space="preserve"> je jeho</w:t>
      </w:r>
      <w:r>
        <w:rPr>
          <w:szCs w:val="24"/>
        </w:rPr>
        <w:t xml:space="preserve"> široká rozšířenost, a to také zásluhou státních motivačních prvků </w:t>
      </w:r>
      <w:r w:rsidR="00AD0463">
        <w:rPr>
          <w:szCs w:val="24"/>
        </w:rPr>
        <w:t xml:space="preserve">– </w:t>
      </w:r>
      <w:r>
        <w:rPr>
          <w:szCs w:val="24"/>
        </w:rPr>
        <w:t>státního příspěvku a daňové podpory. Nicméně účast mladších věkových ročníků je nedostatečná</w:t>
      </w:r>
      <w:r w:rsidR="00E66093">
        <w:rPr>
          <w:szCs w:val="24"/>
        </w:rPr>
        <w:t>, neboť ú</w:t>
      </w:r>
      <w:r w:rsidR="00A06AD0">
        <w:rPr>
          <w:szCs w:val="24"/>
        </w:rPr>
        <w:t>častníci do 30 let věku tvoří přibližně 11</w:t>
      </w:r>
      <w:r w:rsidR="002D4A74">
        <w:rPr>
          <w:szCs w:val="24"/>
        </w:rPr>
        <w:t xml:space="preserve"> </w:t>
      </w:r>
      <w:r w:rsidR="00A06AD0">
        <w:rPr>
          <w:szCs w:val="24"/>
        </w:rPr>
        <w:t xml:space="preserve">% celkového počtu. Z tohoto důvodu je nezbytné </w:t>
      </w:r>
      <w:r w:rsidR="00E66093">
        <w:rPr>
          <w:szCs w:val="24"/>
        </w:rPr>
        <w:t xml:space="preserve">tyto účastníky </w:t>
      </w:r>
      <w:r>
        <w:rPr>
          <w:szCs w:val="24"/>
        </w:rPr>
        <w:t xml:space="preserve">motivovat k dřívějšímu zapojení do </w:t>
      </w:r>
      <w:r w:rsidR="00E66093">
        <w:rPr>
          <w:szCs w:val="24"/>
        </w:rPr>
        <w:t xml:space="preserve">systému, neboť délka </w:t>
      </w:r>
      <w:r w:rsidR="00AD0463">
        <w:rPr>
          <w:szCs w:val="24"/>
        </w:rPr>
        <w:t>spoření</w:t>
      </w:r>
      <w:r w:rsidR="00E66093">
        <w:rPr>
          <w:szCs w:val="24"/>
        </w:rPr>
        <w:t xml:space="preserve"> </w:t>
      </w:r>
      <w:r w:rsidR="00431C1F">
        <w:rPr>
          <w:szCs w:val="24"/>
        </w:rPr>
        <w:t xml:space="preserve">a efekt </w:t>
      </w:r>
      <w:r w:rsidR="00AD0463">
        <w:rPr>
          <w:szCs w:val="24"/>
        </w:rPr>
        <w:t>složené</w:t>
      </w:r>
      <w:r w:rsidR="00431C1F">
        <w:rPr>
          <w:szCs w:val="24"/>
        </w:rPr>
        <w:t>ho</w:t>
      </w:r>
      <w:r w:rsidR="00AD0463">
        <w:rPr>
          <w:szCs w:val="24"/>
        </w:rPr>
        <w:t xml:space="preserve"> úročení </w:t>
      </w:r>
      <w:r w:rsidR="00E66093">
        <w:rPr>
          <w:szCs w:val="24"/>
        </w:rPr>
        <w:t>významně ovlivňuj</w:t>
      </w:r>
      <w:r w:rsidR="00431C1F">
        <w:rPr>
          <w:szCs w:val="24"/>
        </w:rPr>
        <w:t>í</w:t>
      </w:r>
      <w:r w:rsidR="00E66093">
        <w:rPr>
          <w:szCs w:val="24"/>
        </w:rPr>
        <w:t xml:space="preserve"> celkovou naspořenou částku.</w:t>
      </w:r>
      <w:r w:rsidR="002D4A74">
        <w:rPr>
          <w:szCs w:val="24"/>
        </w:rPr>
        <w:t xml:space="preserve"> </w:t>
      </w:r>
    </w:p>
    <w:p w14:paraId="0690DD32" w14:textId="77777777" w:rsidR="002D4A74" w:rsidRDefault="002D4A74" w:rsidP="00814D58">
      <w:pPr>
        <w:spacing w:after="120"/>
        <w:jc w:val="both"/>
        <w:rPr>
          <w:szCs w:val="24"/>
        </w:rPr>
      </w:pPr>
      <w:r>
        <w:rPr>
          <w:szCs w:val="24"/>
        </w:rPr>
        <w:t xml:space="preserve">Dále </w:t>
      </w:r>
      <w:r w:rsidR="006D5CEA">
        <w:rPr>
          <w:szCs w:val="24"/>
        </w:rPr>
        <w:t xml:space="preserve">v návaznosti na sílící kritiku výše úplat </w:t>
      </w:r>
      <w:r w:rsidR="006D5CEA" w:rsidRPr="008B0679">
        <w:rPr>
          <w:szCs w:val="24"/>
        </w:rPr>
        <w:t xml:space="preserve">penzijních společností </w:t>
      </w:r>
      <w:r w:rsidR="00173B36">
        <w:rPr>
          <w:szCs w:val="24"/>
        </w:rPr>
        <w:t xml:space="preserve">snižujících zhodnocení prostředků účastníků </w:t>
      </w:r>
      <w:r w:rsidR="006D5CEA" w:rsidRPr="00C3665C">
        <w:rPr>
          <w:szCs w:val="24"/>
        </w:rPr>
        <w:t>a za situace</w:t>
      </w:r>
      <w:r w:rsidR="006D5CEA" w:rsidRPr="00776629">
        <w:rPr>
          <w:szCs w:val="24"/>
        </w:rPr>
        <w:t xml:space="preserve">, </w:t>
      </w:r>
      <w:r w:rsidR="003042EC" w:rsidRPr="00776629">
        <w:rPr>
          <w:szCs w:val="24"/>
        </w:rPr>
        <w:t xml:space="preserve">kdy </w:t>
      </w:r>
      <w:r w:rsidR="006D5CEA" w:rsidRPr="0008134C">
        <w:rPr>
          <w:szCs w:val="24"/>
        </w:rPr>
        <w:t>si penzijní společnosti mezi sebou nekonkurují výší úplaty</w:t>
      </w:r>
      <w:r w:rsidR="009C380B" w:rsidRPr="0008134C">
        <w:rPr>
          <w:szCs w:val="24"/>
        </w:rPr>
        <w:t>,</w:t>
      </w:r>
      <w:r w:rsidR="00BF4452" w:rsidRPr="008B0679">
        <w:rPr>
          <w:szCs w:val="24"/>
        </w:rPr>
        <w:t xml:space="preserve"> je </w:t>
      </w:r>
      <w:r w:rsidR="0064359B" w:rsidRPr="008B0679">
        <w:rPr>
          <w:szCs w:val="24"/>
        </w:rPr>
        <w:t xml:space="preserve">vhodné vyhodnotit nastavení </w:t>
      </w:r>
      <w:r w:rsidR="00E10EBA" w:rsidRPr="008B0679">
        <w:rPr>
          <w:szCs w:val="24"/>
        </w:rPr>
        <w:t xml:space="preserve">zákonných </w:t>
      </w:r>
      <w:r w:rsidR="0064359B" w:rsidRPr="008B0679">
        <w:rPr>
          <w:szCs w:val="24"/>
        </w:rPr>
        <w:t xml:space="preserve">limitů na úplaty penzijním společnostem, </w:t>
      </w:r>
      <w:r w:rsidR="009D3DCF">
        <w:rPr>
          <w:szCs w:val="24"/>
        </w:rPr>
        <w:t>neboť</w:t>
      </w:r>
      <w:r w:rsidR="0064359B" w:rsidRPr="002D1F43">
        <w:rPr>
          <w:szCs w:val="24"/>
        </w:rPr>
        <w:t xml:space="preserve"> </w:t>
      </w:r>
      <w:r w:rsidR="00E10EBA" w:rsidRPr="002D1F43">
        <w:rPr>
          <w:szCs w:val="24"/>
        </w:rPr>
        <w:t xml:space="preserve">reálná </w:t>
      </w:r>
      <w:r w:rsidR="0064359B" w:rsidRPr="002D1F43">
        <w:rPr>
          <w:szCs w:val="24"/>
        </w:rPr>
        <w:t>výše</w:t>
      </w:r>
      <w:r w:rsidR="009D3DCF">
        <w:rPr>
          <w:szCs w:val="24"/>
        </w:rPr>
        <w:t xml:space="preserve"> úplat</w:t>
      </w:r>
      <w:r w:rsidR="0064359B" w:rsidRPr="002D1F43">
        <w:rPr>
          <w:szCs w:val="24"/>
        </w:rPr>
        <w:t xml:space="preserve"> v dlouhodobém horizontu výrazně ovlivňuje celkovou naspořenou částku</w:t>
      </w:r>
      <w:r w:rsidR="008B0679" w:rsidRPr="002D1F43">
        <w:rPr>
          <w:szCs w:val="24"/>
        </w:rPr>
        <w:t xml:space="preserve"> účastníků</w:t>
      </w:r>
      <w:r w:rsidR="006D5CEA" w:rsidRPr="002D1F43">
        <w:rPr>
          <w:szCs w:val="24"/>
        </w:rPr>
        <w:t>.</w:t>
      </w:r>
    </w:p>
    <w:p w14:paraId="7E82892C" w14:textId="77777777" w:rsidR="001A5E0D" w:rsidRDefault="001A5E0D" w:rsidP="00850401">
      <w:pPr>
        <w:pStyle w:val="Nadpis2"/>
      </w:pPr>
      <w:bookmarkStart w:id="70" w:name="_Toc418509333"/>
      <w:bookmarkStart w:id="71" w:name="_Toc418511040"/>
      <w:bookmarkStart w:id="72" w:name="_Toc418511457"/>
      <w:bookmarkStart w:id="73" w:name="_Toc423508406"/>
      <w:bookmarkStart w:id="74" w:name="_Toc3289549"/>
      <w:bookmarkStart w:id="75" w:name="_Toc4587309"/>
      <w:bookmarkStart w:id="76" w:name="_Toc8730935"/>
      <w:bookmarkStart w:id="77" w:name="_Toc11764012"/>
      <w:bookmarkStart w:id="78" w:name="_Toc24964554"/>
      <w:bookmarkStart w:id="79" w:name="_Toc190782517"/>
      <w:bookmarkStart w:id="80" w:name="_Toc202178962"/>
      <w:bookmarkStart w:id="81" w:name="_Toc227742390"/>
      <w:bookmarkStart w:id="82" w:name="_Toc229662652"/>
      <w:bookmarkStart w:id="83" w:name="_Toc231310635"/>
      <w:r>
        <w:t>Popis existujícího právního stavu v dané oblasti</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0D55E28" w14:textId="3EDE3F94" w:rsidR="007D2713" w:rsidRDefault="007D2713" w:rsidP="004E4403">
      <w:pPr>
        <w:pStyle w:val="Bezmezer"/>
        <w:spacing w:before="0" w:after="120"/>
      </w:pPr>
      <w:r>
        <w:t xml:space="preserve">Penzijní společnosti si mohou účtovat oproti obhospodařovanému majetku v účastnických fondech pouze úplatu v maximálních limitech daných zákonem. Kromě poplatků za individuální služby drobného charakteru nesmí penzijní společnost účtovat nic jiného </w:t>
      </w:r>
      <w:r w:rsidR="00344BBA">
        <w:t>než úplatu za obhospodařování a </w:t>
      </w:r>
      <w:r>
        <w:t xml:space="preserve">úplatu zhodnocení majetku v účastnických fondech. Limity </w:t>
      </w:r>
      <w:r w:rsidR="0083325E">
        <w:t xml:space="preserve">úplat </w:t>
      </w:r>
      <w:r>
        <w:t xml:space="preserve">se liší podle typu účastnického fondu. Odlišné limity jsou </w:t>
      </w:r>
      <w:r w:rsidR="000114F4">
        <w:t xml:space="preserve">nastaveny </w:t>
      </w:r>
      <w:r>
        <w:t>za správu transformovaných fondů</w:t>
      </w:r>
      <w:r w:rsidR="006D7156">
        <w:t xml:space="preserve"> (viz tabulka níže)</w:t>
      </w:r>
      <w:r>
        <w:t xml:space="preserve">. </w:t>
      </w:r>
    </w:p>
    <w:p w14:paraId="448A2A6E" w14:textId="77777777" w:rsidR="006D7156" w:rsidRDefault="006D7156" w:rsidP="006D7156">
      <w:pPr>
        <w:spacing w:before="80" w:after="120"/>
        <w:jc w:val="both"/>
      </w:pPr>
      <w:bookmarkStart w:id="84" w:name="_Toc230006797"/>
      <w:r w:rsidRPr="006D7156">
        <w:rPr>
          <w:rFonts w:eastAsia="Calibri"/>
          <w:b/>
          <w:bCs/>
          <w:color w:val="4F81BD"/>
          <w:sz w:val="20"/>
          <w:szCs w:val="18"/>
        </w:rPr>
        <w:t xml:space="preserve">Tabulka </w:t>
      </w:r>
      <w:r w:rsidRPr="006D7156">
        <w:rPr>
          <w:rFonts w:eastAsia="Calibri"/>
          <w:b/>
          <w:bCs/>
          <w:color w:val="4F81BD"/>
          <w:sz w:val="20"/>
          <w:szCs w:val="18"/>
        </w:rPr>
        <w:fldChar w:fldCharType="begin"/>
      </w:r>
      <w:r w:rsidRPr="006D7156">
        <w:rPr>
          <w:rFonts w:eastAsia="Calibri"/>
          <w:b/>
          <w:bCs/>
          <w:color w:val="4F81BD"/>
          <w:sz w:val="20"/>
          <w:szCs w:val="18"/>
        </w:rPr>
        <w:instrText xml:space="preserve"> SEQ Tabulka \* ARABIC </w:instrText>
      </w:r>
      <w:r w:rsidRPr="006D7156">
        <w:rPr>
          <w:rFonts w:eastAsia="Calibri"/>
          <w:b/>
          <w:bCs/>
          <w:color w:val="4F81BD"/>
          <w:sz w:val="20"/>
          <w:szCs w:val="18"/>
        </w:rPr>
        <w:fldChar w:fldCharType="separate"/>
      </w:r>
      <w:r w:rsidRPr="006D7156">
        <w:rPr>
          <w:rFonts w:eastAsia="Calibri"/>
          <w:b/>
          <w:bCs/>
          <w:color w:val="4F81BD"/>
          <w:sz w:val="20"/>
          <w:szCs w:val="18"/>
        </w:rPr>
        <w:t>1</w:t>
      </w:r>
      <w:r w:rsidRPr="006D7156">
        <w:rPr>
          <w:rFonts w:eastAsia="Calibri"/>
          <w:b/>
          <w:bCs/>
          <w:color w:val="4F81BD"/>
          <w:sz w:val="20"/>
          <w:szCs w:val="18"/>
        </w:rPr>
        <w:fldChar w:fldCharType="end"/>
      </w:r>
      <w:r w:rsidRPr="006D7156">
        <w:rPr>
          <w:rFonts w:eastAsia="Calibri"/>
          <w:b/>
          <w:bCs/>
          <w:color w:val="4F81BD"/>
          <w:sz w:val="20"/>
          <w:szCs w:val="18"/>
        </w:rPr>
        <w:t xml:space="preserve">: </w:t>
      </w:r>
      <w:r w:rsidR="00344BBA" w:rsidRPr="00344BBA">
        <w:rPr>
          <w:rFonts w:eastAsia="Calibri"/>
          <w:b/>
          <w:bCs/>
          <w:color w:val="4F81BD"/>
          <w:sz w:val="20"/>
          <w:szCs w:val="18"/>
        </w:rPr>
        <w:t>Zákonné limity úplat u jednotlivých druhů fondů</w:t>
      </w:r>
      <w:bookmarkEnd w:id="84"/>
    </w:p>
    <w:tbl>
      <w:tblPr>
        <w:tblStyle w:val="Mkatabulky2"/>
        <w:tblW w:w="9077" w:type="dxa"/>
        <w:tblLayout w:type="fixed"/>
        <w:tblLook w:val="04A0" w:firstRow="1" w:lastRow="0" w:firstColumn="1" w:lastColumn="0" w:noHBand="0" w:noVBand="1"/>
      </w:tblPr>
      <w:tblGrid>
        <w:gridCol w:w="2355"/>
        <w:gridCol w:w="1531"/>
        <w:gridCol w:w="1644"/>
        <w:gridCol w:w="2130"/>
        <w:gridCol w:w="1417"/>
      </w:tblGrid>
      <w:tr w:rsidR="00403ED6" w:rsidRPr="00A03F2C" w14:paraId="41AB1724" w14:textId="77777777" w:rsidTr="004F41B9">
        <w:tc>
          <w:tcPr>
            <w:tcW w:w="2355" w:type="dxa"/>
            <w:shd w:val="clear" w:color="auto" w:fill="C6D9F1"/>
          </w:tcPr>
          <w:p w14:paraId="038A8838" w14:textId="77777777" w:rsidR="00403ED6" w:rsidRPr="00A03F2C" w:rsidRDefault="00403ED6" w:rsidP="004F41B9">
            <w:pPr>
              <w:widowControl w:val="0"/>
              <w:suppressAutoHyphens w:val="0"/>
              <w:spacing w:before="60" w:after="60" w:line="240" w:lineRule="auto"/>
              <w:jc w:val="both"/>
              <w:rPr>
                <w:rFonts w:cs="Calibri"/>
                <w:b/>
                <w:sz w:val="19"/>
                <w:szCs w:val="19"/>
              </w:rPr>
            </w:pPr>
          </w:p>
        </w:tc>
        <w:tc>
          <w:tcPr>
            <w:tcW w:w="1531" w:type="dxa"/>
            <w:shd w:val="clear" w:color="auto" w:fill="C6D9F1"/>
            <w:vAlign w:val="center"/>
          </w:tcPr>
          <w:p w14:paraId="7498800B" w14:textId="77777777" w:rsidR="00403ED6" w:rsidRPr="00A03F2C" w:rsidRDefault="00403ED6" w:rsidP="004F41B9">
            <w:pPr>
              <w:widowControl w:val="0"/>
              <w:suppressAutoHyphens w:val="0"/>
              <w:spacing w:before="60" w:after="60" w:line="240" w:lineRule="auto"/>
              <w:jc w:val="center"/>
              <w:rPr>
                <w:rFonts w:cs="Calibri"/>
                <w:b/>
                <w:sz w:val="19"/>
                <w:szCs w:val="19"/>
              </w:rPr>
            </w:pPr>
            <w:r w:rsidRPr="00A03F2C">
              <w:rPr>
                <w:rFonts w:cs="Calibri"/>
                <w:b/>
                <w:sz w:val="19"/>
                <w:szCs w:val="19"/>
              </w:rPr>
              <w:t>Transformované fondy</w:t>
            </w:r>
          </w:p>
        </w:tc>
        <w:tc>
          <w:tcPr>
            <w:tcW w:w="1644" w:type="dxa"/>
            <w:shd w:val="clear" w:color="auto" w:fill="C6D9F1"/>
            <w:vAlign w:val="center"/>
          </w:tcPr>
          <w:p w14:paraId="19750C93" w14:textId="77777777" w:rsidR="00403ED6" w:rsidRPr="00A03F2C" w:rsidRDefault="00403ED6" w:rsidP="004F41B9">
            <w:pPr>
              <w:widowControl w:val="0"/>
              <w:suppressAutoHyphens w:val="0"/>
              <w:spacing w:before="60" w:after="60" w:line="240" w:lineRule="auto"/>
              <w:jc w:val="center"/>
              <w:rPr>
                <w:rFonts w:cs="Calibri"/>
                <w:b/>
                <w:sz w:val="19"/>
                <w:szCs w:val="19"/>
              </w:rPr>
            </w:pPr>
            <w:r w:rsidRPr="00A03F2C">
              <w:rPr>
                <w:rFonts w:cs="Calibri"/>
                <w:b/>
                <w:sz w:val="19"/>
                <w:szCs w:val="19"/>
              </w:rPr>
              <w:t>Povinné konzervativní fondy</w:t>
            </w:r>
          </w:p>
        </w:tc>
        <w:tc>
          <w:tcPr>
            <w:tcW w:w="2130" w:type="dxa"/>
            <w:shd w:val="clear" w:color="auto" w:fill="C6D9F1"/>
            <w:vAlign w:val="center"/>
          </w:tcPr>
          <w:p w14:paraId="3A703081" w14:textId="77777777" w:rsidR="00403ED6" w:rsidRPr="00A03F2C" w:rsidRDefault="00403ED6" w:rsidP="004F41B9">
            <w:pPr>
              <w:widowControl w:val="0"/>
              <w:suppressAutoHyphens w:val="0"/>
              <w:spacing w:before="60" w:after="60" w:line="240" w:lineRule="auto"/>
              <w:jc w:val="center"/>
              <w:rPr>
                <w:rFonts w:cs="Calibri"/>
                <w:b/>
                <w:sz w:val="19"/>
                <w:szCs w:val="19"/>
              </w:rPr>
            </w:pPr>
            <w:r w:rsidRPr="00A03F2C">
              <w:rPr>
                <w:rFonts w:cs="Calibri"/>
                <w:b/>
                <w:sz w:val="19"/>
                <w:szCs w:val="19"/>
              </w:rPr>
              <w:t>Ostatní účastnické fondy (smíšené, dynamické)</w:t>
            </w:r>
          </w:p>
        </w:tc>
        <w:tc>
          <w:tcPr>
            <w:tcW w:w="1417" w:type="dxa"/>
            <w:shd w:val="clear" w:color="auto" w:fill="C6D9F1"/>
            <w:vAlign w:val="center"/>
          </w:tcPr>
          <w:p w14:paraId="7D019B2D" w14:textId="77777777" w:rsidR="00403ED6" w:rsidRPr="00A03F2C" w:rsidRDefault="00403ED6" w:rsidP="004F41B9">
            <w:pPr>
              <w:widowControl w:val="0"/>
              <w:suppressAutoHyphens w:val="0"/>
              <w:spacing w:before="60" w:after="60" w:line="240" w:lineRule="auto"/>
              <w:jc w:val="center"/>
              <w:rPr>
                <w:rFonts w:cs="Calibri"/>
                <w:b/>
                <w:sz w:val="19"/>
                <w:szCs w:val="19"/>
              </w:rPr>
            </w:pPr>
            <w:r w:rsidRPr="00A03F2C">
              <w:rPr>
                <w:rFonts w:cs="Calibri"/>
                <w:b/>
                <w:sz w:val="19"/>
                <w:szCs w:val="19"/>
              </w:rPr>
              <w:t>Alternativní účastnické fondy</w:t>
            </w:r>
          </w:p>
        </w:tc>
      </w:tr>
      <w:tr w:rsidR="00403ED6" w:rsidRPr="00A03F2C" w14:paraId="499141B1" w14:textId="77777777" w:rsidTr="004F41B9">
        <w:tc>
          <w:tcPr>
            <w:tcW w:w="2355" w:type="dxa"/>
          </w:tcPr>
          <w:p w14:paraId="5BA39B6A" w14:textId="77777777" w:rsidR="00403ED6" w:rsidRPr="00A03F2C" w:rsidRDefault="00403ED6" w:rsidP="004F41B9">
            <w:pPr>
              <w:widowControl w:val="0"/>
              <w:suppressAutoHyphens w:val="0"/>
              <w:spacing w:before="60" w:after="60" w:line="240" w:lineRule="auto"/>
              <w:rPr>
                <w:rFonts w:cs="Calibri"/>
                <w:sz w:val="19"/>
                <w:szCs w:val="19"/>
              </w:rPr>
            </w:pPr>
            <w:r w:rsidRPr="00A03F2C">
              <w:rPr>
                <w:rFonts w:cs="Calibri"/>
                <w:sz w:val="19"/>
                <w:szCs w:val="19"/>
              </w:rPr>
              <w:t xml:space="preserve">Úplata za obhospodařování </w:t>
            </w:r>
          </w:p>
        </w:tc>
        <w:tc>
          <w:tcPr>
            <w:tcW w:w="1531" w:type="dxa"/>
            <w:vAlign w:val="center"/>
          </w:tcPr>
          <w:p w14:paraId="2E8E1B75"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0,8 %</w:t>
            </w:r>
          </w:p>
        </w:tc>
        <w:tc>
          <w:tcPr>
            <w:tcW w:w="1644" w:type="dxa"/>
            <w:vAlign w:val="center"/>
          </w:tcPr>
          <w:p w14:paraId="1CC02B34"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0,4 %</w:t>
            </w:r>
          </w:p>
        </w:tc>
        <w:tc>
          <w:tcPr>
            <w:tcW w:w="2130" w:type="dxa"/>
            <w:vAlign w:val="center"/>
          </w:tcPr>
          <w:p w14:paraId="13461940"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1,0 %</w:t>
            </w:r>
          </w:p>
        </w:tc>
        <w:tc>
          <w:tcPr>
            <w:tcW w:w="1417" w:type="dxa"/>
            <w:vAlign w:val="center"/>
          </w:tcPr>
          <w:p w14:paraId="034357F0"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2,5 %</w:t>
            </w:r>
          </w:p>
        </w:tc>
      </w:tr>
      <w:tr w:rsidR="00403ED6" w:rsidRPr="00A03F2C" w14:paraId="048853E4" w14:textId="77777777" w:rsidTr="004F41B9">
        <w:tc>
          <w:tcPr>
            <w:tcW w:w="2355" w:type="dxa"/>
          </w:tcPr>
          <w:p w14:paraId="64920349" w14:textId="77777777" w:rsidR="00403ED6" w:rsidRPr="00A03F2C" w:rsidRDefault="00403ED6" w:rsidP="004F41B9">
            <w:pPr>
              <w:widowControl w:val="0"/>
              <w:suppressAutoHyphens w:val="0"/>
              <w:spacing w:before="60" w:after="60" w:line="240" w:lineRule="auto"/>
              <w:rPr>
                <w:rFonts w:cs="Calibri"/>
                <w:sz w:val="19"/>
                <w:szCs w:val="19"/>
              </w:rPr>
            </w:pPr>
            <w:r w:rsidRPr="00A03F2C">
              <w:rPr>
                <w:rFonts w:cs="Calibri"/>
                <w:sz w:val="19"/>
                <w:szCs w:val="19"/>
              </w:rPr>
              <w:t>Úplata za zhodnocení</w:t>
            </w:r>
          </w:p>
        </w:tc>
        <w:tc>
          <w:tcPr>
            <w:tcW w:w="1531" w:type="dxa"/>
            <w:vAlign w:val="center"/>
          </w:tcPr>
          <w:p w14:paraId="5094EC26"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10 %</w:t>
            </w:r>
          </w:p>
        </w:tc>
        <w:tc>
          <w:tcPr>
            <w:tcW w:w="1644" w:type="dxa"/>
            <w:vAlign w:val="center"/>
          </w:tcPr>
          <w:p w14:paraId="7C344578"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10 %</w:t>
            </w:r>
          </w:p>
        </w:tc>
        <w:tc>
          <w:tcPr>
            <w:tcW w:w="2130" w:type="dxa"/>
            <w:vAlign w:val="center"/>
          </w:tcPr>
          <w:p w14:paraId="7C59FA5C"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15 %</w:t>
            </w:r>
          </w:p>
        </w:tc>
        <w:tc>
          <w:tcPr>
            <w:tcW w:w="1417" w:type="dxa"/>
            <w:vAlign w:val="center"/>
          </w:tcPr>
          <w:p w14:paraId="22E69FAC" w14:textId="77777777" w:rsidR="00403ED6" w:rsidRPr="00A03F2C" w:rsidRDefault="00403ED6" w:rsidP="004F41B9">
            <w:pPr>
              <w:widowControl w:val="0"/>
              <w:suppressAutoHyphens w:val="0"/>
              <w:spacing w:before="60" w:after="60" w:line="240" w:lineRule="auto"/>
              <w:jc w:val="center"/>
              <w:rPr>
                <w:rFonts w:cs="Calibri"/>
                <w:sz w:val="19"/>
                <w:szCs w:val="19"/>
              </w:rPr>
            </w:pPr>
            <w:r w:rsidRPr="00A03F2C">
              <w:rPr>
                <w:rFonts w:cs="Calibri"/>
                <w:sz w:val="19"/>
                <w:szCs w:val="19"/>
              </w:rPr>
              <w:t>25 %</w:t>
            </w:r>
          </w:p>
        </w:tc>
      </w:tr>
    </w:tbl>
    <w:p w14:paraId="7D071376" w14:textId="77777777" w:rsidR="00406FCE" w:rsidRDefault="006803FC" w:rsidP="003C108E">
      <w:pPr>
        <w:pStyle w:val="Bezmezer"/>
        <w:spacing w:before="120" w:after="120"/>
      </w:pPr>
      <w:r>
        <w:t xml:space="preserve">V doplňkovém penzijním spoření je </w:t>
      </w:r>
      <w:r w:rsidR="00173B36">
        <w:t xml:space="preserve">od roku 2016 </w:t>
      </w:r>
      <w:r w:rsidR="00E75E40">
        <w:t>možná účast i nezletilých účastníků, nicméně podmínky pro nárok na státní příspěvek se neliší podle věku. Minimální měsíční příspěvek účastníka pro získání spořící doby je 100 Kč</w:t>
      </w:r>
      <w:r w:rsidR="00173B36">
        <w:t>,</w:t>
      </w:r>
      <w:r w:rsidR="00E75E40">
        <w:t xml:space="preserve"> </w:t>
      </w:r>
      <w:r w:rsidR="00173B36">
        <w:t xml:space="preserve">státní </w:t>
      </w:r>
      <w:r w:rsidR="00E75E40">
        <w:t xml:space="preserve">příspěvek </w:t>
      </w:r>
      <w:r w:rsidR="00173B36">
        <w:t xml:space="preserve">ale </w:t>
      </w:r>
      <w:r w:rsidR="00E75E40">
        <w:t xml:space="preserve">náleží </w:t>
      </w:r>
      <w:r w:rsidR="00173B36">
        <w:t xml:space="preserve">až </w:t>
      </w:r>
      <w:r w:rsidR="00E75E40">
        <w:t>od částky měsíčního příspěvku účastníka 500</w:t>
      </w:r>
      <w:r w:rsidR="000114F4">
        <w:t> </w:t>
      </w:r>
      <w:r w:rsidR="00E75E40">
        <w:t>Kč. Výše měsíčního státního příspěvku je 20 % z příspěvku účastníka až do výše jeho příspěvku 1 700 Kč</w:t>
      </w:r>
      <w:r w:rsidR="009D3DCF">
        <w:t xml:space="preserve">, nad </w:t>
      </w:r>
      <w:r w:rsidR="009D3DCF" w:rsidRPr="00026AA9">
        <w:t>kterou státní příspěvek dále neroste</w:t>
      </w:r>
      <w:r w:rsidR="00E75E40">
        <w:t xml:space="preserve">. Nad tuto hranici </w:t>
      </w:r>
      <w:r w:rsidR="00026AA9">
        <w:t xml:space="preserve">však </w:t>
      </w:r>
      <w:r w:rsidR="00E75E40">
        <w:t xml:space="preserve">náleží možnost daňového odpočtu do souhrnného limitu pro všechny daňově podporované produkty v částce 48 000 Kč. </w:t>
      </w:r>
    </w:p>
    <w:p w14:paraId="13829A91" w14:textId="77777777" w:rsidR="007D2713" w:rsidRDefault="007D2713" w:rsidP="004E4403">
      <w:pPr>
        <w:pStyle w:val="Bezmezer"/>
        <w:spacing w:before="0" w:after="120"/>
      </w:pPr>
    </w:p>
    <w:p w14:paraId="14707A87" w14:textId="77777777" w:rsidR="001A5E0D" w:rsidRDefault="00D03149" w:rsidP="005B6EDD">
      <w:pPr>
        <w:pStyle w:val="Nadpis2"/>
        <w:keepNext/>
        <w:ind w:left="578" w:hanging="578"/>
      </w:pPr>
      <w:bookmarkStart w:id="85" w:name="_Toc418509334"/>
      <w:bookmarkStart w:id="86" w:name="_Toc418511041"/>
      <w:bookmarkStart w:id="87" w:name="_Toc418511458"/>
      <w:bookmarkStart w:id="88" w:name="_Toc423508407"/>
      <w:bookmarkStart w:id="89" w:name="_Toc3289550"/>
      <w:bookmarkStart w:id="90" w:name="_Toc4587310"/>
      <w:bookmarkStart w:id="91" w:name="_Toc8730936"/>
      <w:bookmarkStart w:id="92" w:name="_Toc11764013"/>
      <w:bookmarkStart w:id="93" w:name="_Toc24964555"/>
      <w:bookmarkStart w:id="94" w:name="_Toc190782518"/>
      <w:bookmarkStart w:id="95" w:name="_Toc202178963"/>
      <w:bookmarkStart w:id="96" w:name="_Toc227742391"/>
      <w:bookmarkStart w:id="97" w:name="_Toc229662653"/>
      <w:bookmarkStart w:id="98" w:name="_Toc231310636"/>
      <w:r>
        <w:lastRenderedPageBreak/>
        <w:t>I</w:t>
      </w:r>
      <w:r w:rsidR="001A5E0D">
        <w:t>dentifikace dotčených subjektů</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A195C51" w14:textId="77777777" w:rsidR="00BC550E" w:rsidRDefault="00BC550E" w:rsidP="004E4403">
      <w:pPr>
        <w:pStyle w:val="Bezmezer"/>
        <w:spacing w:before="0" w:after="120"/>
      </w:pPr>
      <w:r w:rsidRPr="00460053">
        <w:t xml:space="preserve">Při hodnocení dopadů </w:t>
      </w:r>
      <w:r>
        <w:t>bylo zjištěno, že dotčenými subjekty jsou:</w:t>
      </w:r>
    </w:p>
    <w:p w14:paraId="79F77001" w14:textId="77777777" w:rsidR="00681F2E" w:rsidRDefault="00681F2E" w:rsidP="000950AC">
      <w:pPr>
        <w:pStyle w:val="Titulek"/>
        <w:keepNext/>
        <w:spacing w:after="120"/>
      </w:pPr>
      <w:bookmarkStart w:id="99" w:name="_Toc7182599"/>
      <w:bookmarkStart w:id="100" w:name="_Toc24964626"/>
      <w:bookmarkStart w:id="101" w:name="_Toc230006798"/>
      <w:r w:rsidRPr="00C8781B">
        <w:t xml:space="preserve">Tabulka </w:t>
      </w:r>
      <w:r w:rsidR="00C904AE">
        <w:fldChar w:fldCharType="begin"/>
      </w:r>
      <w:r w:rsidR="00C904AE">
        <w:instrText xml:space="preserve"> SEQ Tabulka \* ARABIC </w:instrText>
      </w:r>
      <w:r w:rsidR="00C904AE">
        <w:fldChar w:fldCharType="separate"/>
      </w:r>
      <w:r w:rsidR="007653B4">
        <w:rPr>
          <w:noProof/>
        </w:rPr>
        <w:t>2</w:t>
      </w:r>
      <w:r w:rsidR="00C904AE">
        <w:rPr>
          <w:noProof/>
        </w:rPr>
        <w:fldChar w:fldCharType="end"/>
      </w:r>
      <w:r w:rsidRPr="00C8781B">
        <w:t>: Seznam dotčených subjektů</w:t>
      </w:r>
      <w:bookmarkEnd w:id="99"/>
      <w:bookmarkEnd w:id="100"/>
      <w:bookmarkEnd w:id="101"/>
    </w:p>
    <w:tbl>
      <w:tblPr>
        <w:tblStyle w:val="Mkatabulky"/>
        <w:tblW w:w="5000" w:type="pct"/>
        <w:jc w:val="center"/>
        <w:tblLook w:val="04A0" w:firstRow="1" w:lastRow="0" w:firstColumn="1" w:lastColumn="0" w:noHBand="0" w:noVBand="1"/>
      </w:tblPr>
      <w:tblGrid>
        <w:gridCol w:w="2972"/>
        <w:gridCol w:w="6090"/>
      </w:tblGrid>
      <w:tr w:rsidR="00F8106B" w14:paraId="1E1F9C2E" w14:textId="77777777" w:rsidTr="00F36A41">
        <w:trPr>
          <w:tblHeader/>
          <w:jc w:val="center"/>
        </w:trPr>
        <w:tc>
          <w:tcPr>
            <w:tcW w:w="1640" w:type="pct"/>
            <w:shd w:val="clear" w:color="auto" w:fill="C6D9F1" w:themeFill="text2" w:themeFillTint="33"/>
            <w:vAlign w:val="center"/>
          </w:tcPr>
          <w:p w14:paraId="2490DBBD" w14:textId="77777777" w:rsidR="00F8106B" w:rsidRPr="009D3AFA" w:rsidRDefault="00F8106B" w:rsidP="00854FF3">
            <w:pPr>
              <w:spacing w:before="60" w:after="60" w:line="240" w:lineRule="auto"/>
              <w:jc w:val="center"/>
              <w:rPr>
                <w:b/>
              </w:rPr>
            </w:pPr>
            <w:r>
              <w:rPr>
                <w:b/>
              </w:rPr>
              <w:t>Subjekty</w:t>
            </w:r>
          </w:p>
        </w:tc>
        <w:tc>
          <w:tcPr>
            <w:tcW w:w="3360" w:type="pct"/>
            <w:shd w:val="clear" w:color="auto" w:fill="C6D9F1" w:themeFill="text2" w:themeFillTint="33"/>
            <w:vAlign w:val="center"/>
          </w:tcPr>
          <w:p w14:paraId="644AA16C" w14:textId="77777777" w:rsidR="00F8106B" w:rsidRPr="009D3AFA" w:rsidRDefault="00F8106B" w:rsidP="00854FF3">
            <w:pPr>
              <w:spacing w:before="60" w:after="60" w:line="240" w:lineRule="auto"/>
              <w:jc w:val="center"/>
              <w:rPr>
                <w:b/>
              </w:rPr>
            </w:pPr>
            <w:r>
              <w:rPr>
                <w:b/>
              </w:rPr>
              <w:t>Důvod</w:t>
            </w:r>
          </w:p>
        </w:tc>
      </w:tr>
      <w:tr w:rsidR="00F8106B" w14:paraId="40231DCA" w14:textId="77777777" w:rsidTr="00F36A41">
        <w:trPr>
          <w:tblHeader/>
          <w:jc w:val="center"/>
        </w:trPr>
        <w:tc>
          <w:tcPr>
            <w:tcW w:w="1640" w:type="pct"/>
            <w:vAlign w:val="center"/>
          </w:tcPr>
          <w:p w14:paraId="3DB7526C" w14:textId="77777777" w:rsidR="00F8106B" w:rsidRPr="00D57747" w:rsidRDefault="00F8106B" w:rsidP="00D57747">
            <w:pPr>
              <w:spacing w:after="0"/>
            </w:pPr>
            <w:r>
              <w:t>ú</w:t>
            </w:r>
            <w:r w:rsidRPr="00D57747">
              <w:t>častníci</w:t>
            </w:r>
          </w:p>
        </w:tc>
        <w:tc>
          <w:tcPr>
            <w:tcW w:w="3360" w:type="pct"/>
          </w:tcPr>
          <w:p w14:paraId="3CE1DE8A" w14:textId="77777777" w:rsidR="00F8106B" w:rsidRPr="00381099" w:rsidRDefault="00CE2E15" w:rsidP="007E5AB5">
            <w:pPr>
              <w:spacing w:after="0"/>
              <w:jc w:val="both"/>
              <w:rPr>
                <w:sz w:val="20"/>
              </w:rPr>
            </w:pPr>
            <w:r w:rsidRPr="0057291E">
              <w:rPr>
                <w:rFonts w:asciiTheme="minorHAnsi" w:eastAsia="Calibri" w:hAnsiTheme="minorHAnsi" w:cstheme="minorHAnsi"/>
              </w:rPr>
              <w:t>Změny v regulaci úplat i podmínek nároku na státní příspěvek by měly vést k vyššímu objemu prostředků na stáří.</w:t>
            </w:r>
            <w:r>
              <w:rPr>
                <w:sz w:val="20"/>
              </w:rPr>
              <w:t xml:space="preserve"> </w:t>
            </w:r>
          </w:p>
        </w:tc>
      </w:tr>
      <w:tr w:rsidR="00F8106B" w14:paraId="20764E48" w14:textId="77777777" w:rsidTr="00F36A41">
        <w:trPr>
          <w:tblHeader/>
          <w:jc w:val="center"/>
        </w:trPr>
        <w:tc>
          <w:tcPr>
            <w:tcW w:w="1640" w:type="pct"/>
            <w:vAlign w:val="center"/>
          </w:tcPr>
          <w:p w14:paraId="1E3A9711" w14:textId="77777777" w:rsidR="00F8106B" w:rsidRDefault="00F8106B" w:rsidP="00F36A41">
            <w:pPr>
              <w:spacing w:after="0"/>
            </w:pPr>
            <w:r>
              <w:t>p</w:t>
            </w:r>
            <w:r w:rsidRPr="00D57747">
              <w:t>enzijní společnost</w:t>
            </w:r>
            <w:r w:rsidR="00F36A41">
              <w:t>i</w:t>
            </w:r>
          </w:p>
          <w:p w14:paraId="48C221FF" w14:textId="77777777" w:rsidR="00026AA9" w:rsidRPr="00D57747" w:rsidRDefault="00026AA9" w:rsidP="008D2D97">
            <w:pPr>
              <w:spacing w:after="0"/>
              <w:jc w:val="both"/>
            </w:pPr>
            <w:r w:rsidRPr="007653B4">
              <w:rPr>
                <w:sz w:val="18"/>
              </w:rPr>
              <w:t>(</w:t>
            </w:r>
            <w:r w:rsidRPr="007653B4">
              <w:rPr>
                <w:rFonts w:asciiTheme="minorHAnsi" w:eastAsia="Calibri" w:hAnsiTheme="minorHAnsi" w:cstheme="minorHAnsi"/>
                <w:sz w:val="18"/>
              </w:rPr>
              <w:t>akciové společnosti</w:t>
            </w:r>
            <w:r w:rsidR="007653B4">
              <w:rPr>
                <w:rFonts w:asciiTheme="minorHAnsi" w:eastAsia="Calibri" w:hAnsiTheme="minorHAnsi" w:cstheme="minorHAnsi"/>
                <w:sz w:val="18"/>
              </w:rPr>
              <w:t xml:space="preserve"> s licencí ČNB k </w:t>
            </w:r>
            <w:r w:rsidRPr="007653B4">
              <w:rPr>
                <w:rFonts w:asciiTheme="minorHAnsi" w:eastAsia="Calibri" w:hAnsiTheme="minorHAnsi" w:cstheme="minorHAnsi"/>
                <w:sz w:val="18"/>
              </w:rPr>
              <w:t>realiz</w:t>
            </w:r>
            <w:r w:rsidR="007653B4">
              <w:rPr>
                <w:rFonts w:asciiTheme="minorHAnsi" w:eastAsia="Calibri" w:hAnsiTheme="minorHAnsi" w:cstheme="minorHAnsi"/>
                <w:sz w:val="18"/>
              </w:rPr>
              <w:t>ování penzijního připojištění a </w:t>
            </w:r>
            <w:r w:rsidRPr="007653B4">
              <w:rPr>
                <w:rFonts w:asciiTheme="minorHAnsi" w:eastAsia="Calibri" w:hAnsiTheme="minorHAnsi" w:cstheme="minorHAnsi"/>
                <w:sz w:val="18"/>
              </w:rPr>
              <w:t>doplňkového penzijního spoření)</w:t>
            </w:r>
          </w:p>
        </w:tc>
        <w:tc>
          <w:tcPr>
            <w:tcW w:w="3360" w:type="pct"/>
          </w:tcPr>
          <w:p w14:paraId="5A9EFDAA" w14:textId="77777777" w:rsidR="00E600C1" w:rsidRPr="00F36A41" w:rsidRDefault="00E600C1" w:rsidP="008D2D97">
            <w:pPr>
              <w:spacing w:after="0"/>
              <w:jc w:val="both"/>
              <w:rPr>
                <w:rFonts w:asciiTheme="minorHAnsi" w:hAnsiTheme="minorHAnsi" w:cstheme="minorHAnsi"/>
                <w:bCs/>
                <w:szCs w:val="24"/>
              </w:rPr>
            </w:pPr>
            <w:r>
              <w:rPr>
                <w:rFonts w:asciiTheme="minorHAnsi" w:eastAsia="Calibri" w:hAnsiTheme="minorHAnsi" w:cstheme="minorHAnsi"/>
              </w:rPr>
              <w:t xml:space="preserve">Úpravy limitů na úplaty </w:t>
            </w:r>
            <w:r w:rsidRPr="00E600C1">
              <w:rPr>
                <w:rFonts w:asciiTheme="minorHAnsi" w:eastAsia="Calibri" w:hAnsiTheme="minorHAnsi" w:cstheme="minorHAnsi"/>
              </w:rPr>
              <w:t xml:space="preserve">povedou </w:t>
            </w:r>
            <w:r w:rsidR="005A1E2E">
              <w:rPr>
                <w:rFonts w:asciiTheme="minorHAnsi" w:eastAsia="Calibri" w:hAnsiTheme="minorHAnsi" w:cstheme="minorHAnsi"/>
              </w:rPr>
              <w:t xml:space="preserve">k </w:t>
            </w:r>
            <w:r w:rsidRPr="00E600C1">
              <w:rPr>
                <w:rFonts w:asciiTheme="minorHAnsi" w:eastAsia="Calibri" w:hAnsiTheme="minorHAnsi" w:cstheme="minorHAnsi"/>
              </w:rPr>
              <w:t>poklesu výnosů penzijních společností s případným následným dopadem na výši jejich zisků.</w:t>
            </w:r>
          </w:p>
        </w:tc>
      </w:tr>
      <w:tr w:rsidR="00F8106B" w14:paraId="0048E285" w14:textId="77777777" w:rsidTr="00F36A41">
        <w:trPr>
          <w:tblHeader/>
          <w:jc w:val="center"/>
        </w:trPr>
        <w:tc>
          <w:tcPr>
            <w:tcW w:w="1640" w:type="pct"/>
            <w:vAlign w:val="center"/>
          </w:tcPr>
          <w:p w14:paraId="75A5ECBB" w14:textId="77777777" w:rsidR="00F8106B" w:rsidRPr="00D51A4B" w:rsidRDefault="00776629" w:rsidP="0093473F">
            <w:pPr>
              <w:spacing w:after="0"/>
            </w:pPr>
            <w:r>
              <w:t>stát</w:t>
            </w:r>
          </w:p>
        </w:tc>
        <w:tc>
          <w:tcPr>
            <w:tcW w:w="3360" w:type="pct"/>
          </w:tcPr>
          <w:p w14:paraId="7977B432" w14:textId="77777777" w:rsidR="00F8106B" w:rsidRPr="00C8781B" w:rsidRDefault="00026AA9" w:rsidP="0093473F">
            <w:pPr>
              <w:spacing w:after="0"/>
              <w:jc w:val="both"/>
            </w:pPr>
            <w:r>
              <w:t xml:space="preserve">Změny podmínek nároku na státní příspěvek povedou ke zvýšení </w:t>
            </w:r>
            <w:r w:rsidRPr="00026AA9">
              <w:t>výdajů státního rozpočtu</w:t>
            </w:r>
            <w:r>
              <w:t xml:space="preserve"> </w:t>
            </w:r>
            <w:r w:rsidRPr="00026AA9">
              <w:t>na státní příspěvek</w:t>
            </w:r>
            <w:r>
              <w:t>.</w:t>
            </w:r>
          </w:p>
        </w:tc>
      </w:tr>
    </w:tbl>
    <w:p w14:paraId="0726C1A4" w14:textId="77777777" w:rsidR="00E06C13" w:rsidRDefault="006657DF" w:rsidP="006657DF">
      <w:pPr>
        <w:spacing w:before="120" w:after="120"/>
        <w:jc w:val="both"/>
        <w:rPr>
          <w:szCs w:val="24"/>
        </w:rPr>
      </w:pPr>
      <w:bookmarkStart w:id="102" w:name="_Toc418509335"/>
      <w:bookmarkStart w:id="103" w:name="_Toc418511042"/>
      <w:bookmarkStart w:id="104" w:name="_Toc418511459"/>
      <w:bookmarkStart w:id="105" w:name="_Toc423508408"/>
      <w:bookmarkStart w:id="106" w:name="_Toc3289551"/>
      <w:bookmarkStart w:id="107" w:name="_Toc4587311"/>
      <w:bookmarkStart w:id="108" w:name="_Toc8730937"/>
      <w:bookmarkStart w:id="109" w:name="_Toc11764014"/>
      <w:bookmarkStart w:id="110" w:name="_Toc24964556"/>
      <w:bookmarkStart w:id="111" w:name="_Toc190782519"/>
      <w:bookmarkStart w:id="112" w:name="_Toc202178964"/>
      <w:bookmarkStart w:id="113" w:name="_Toc227742392"/>
      <w:bookmarkStart w:id="114" w:name="_Toc229662654"/>
      <w:r w:rsidRPr="006657DF">
        <w:rPr>
          <w:szCs w:val="24"/>
        </w:rPr>
        <w:t>K 31.</w:t>
      </w:r>
      <w:r>
        <w:rPr>
          <w:szCs w:val="24"/>
        </w:rPr>
        <w:t xml:space="preserve"> </w:t>
      </w:r>
      <w:r w:rsidRPr="006657DF">
        <w:rPr>
          <w:szCs w:val="24"/>
        </w:rPr>
        <w:t>3. 2026</w:t>
      </w:r>
      <w:r>
        <w:rPr>
          <w:szCs w:val="24"/>
        </w:rPr>
        <w:t xml:space="preserve"> působilo v ČR celkem 9 penzijních společností, z nichž 8 penzijních společností spravovalo prostředky účastníků jak v účastnických (systém doplňkového penzijního spoření), tak transformovaných (systém penzijního připojištění) fondech. Jedna penzijní společnost</w:t>
      </w:r>
      <w:r w:rsidR="00F65C95">
        <w:rPr>
          <w:szCs w:val="24"/>
        </w:rPr>
        <w:t xml:space="preserve"> vzhledem k zahájení své činnosti v roce 2021 obhospodařovala prostředky účastníků pouze v účastnických fondech.</w:t>
      </w:r>
      <w:r>
        <w:rPr>
          <w:szCs w:val="24"/>
        </w:rPr>
        <w:t xml:space="preserve"> </w:t>
      </w:r>
    </w:p>
    <w:p w14:paraId="74DF6254" w14:textId="77777777" w:rsidR="006657DF" w:rsidRDefault="00E06C13" w:rsidP="006657DF">
      <w:pPr>
        <w:spacing w:before="120" w:after="120"/>
        <w:jc w:val="both"/>
        <w:rPr>
          <w:szCs w:val="24"/>
        </w:rPr>
      </w:pPr>
      <w:r>
        <w:rPr>
          <w:szCs w:val="24"/>
        </w:rPr>
        <w:t xml:space="preserve">Vzhledem k tomu, že penzijní společnost může spravovat pouze 1 transformovaný fond, bylo těchto fondů 8. </w:t>
      </w:r>
      <w:r w:rsidR="004640B1">
        <w:rPr>
          <w:szCs w:val="24"/>
        </w:rPr>
        <w:t>Z celkového poč</w:t>
      </w:r>
      <w:r w:rsidR="00F65C95">
        <w:rPr>
          <w:szCs w:val="24"/>
        </w:rPr>
        <w:t>t</w:t>
      </w:r>
      <w:r w:rsidR="004640B1">
        <w:rPr>
          <w:szCs w:val="24"/>
        </w:rPr>
        <w:t>u</w:t>
      </w:r>
      <w:r w:rsidR="00F65C95">
        <w:rPr>
          <w:szCs w:val="24"/>
        </w:rPr>
        <w:t xml:space="preserve"> </w:t>
      </w:r>
      <w:r w:rsidR="004640B1">
        <w:rPr>
          <w:szCs w:val="24"/>
        </w:rPr>
        <w:t xml:space="preserve">40 účastnických </w:t>
      </w:r>
      <w:r w:rsidR="00F65C95">
        <w:rPr>
          <w:szCs w:val="24"/>
        </w:rPr>
        <w:t>fondů, kte</w:t>
      </w:r>
      <w:r>
        <w:rPr>
          <w:szCs w:val="24"/>
        </w:rPr>
        <w:t>ré penzijní společnosti nabízely</w:t>
      </w:r>
      <w:r w:rsidR="00F65C95">
        <w:rPr>
          <w:szCs w:val="24"/>
        </w:rPr>
        <w:t>,</w:t>
      </w:r>
      <w:r w:rsidR="004640B1">
        <w:rPr>
          <w:szCs w:val="24"/>
        </w:rPr>
        <w:t xml:space="preserve"> bylo 10 fondů dynamických,</w:t>
      </w:r>
      <w:r w:rsidR="004640B1" w:rsidRPr="004640B1">
        <w:t xml:space="preserve"> </w:t>
      </w:r>
      <w:r w:rsidR="004640B1" w:rsidRPr="004640B1">
        <w:rPr>
          <w:szCs w:val="24"/>
        </w:rPr>
        <w:t>které investují převážně do akcií a podílových listů akciových fondů</w:t>
      </w:r>
      <w:r w:rsidR="004640B1">
        <w:rPr>
          <w:szCs w:val="24"/>
        </w:rPr>
        <w:t xml:space="preserve">. Dalších 7 fondů mělo vyváženou investiční strategii, kdy investují </w:t>
      </w:r>
      <w:r w:rsidR="00E419EE">
        <w:rPr>
          <w:szCs w:val="24"/>
        </w:rPr>
        <w:t>do</w:t>
      </w:r>
      <w:r w:rsidR="004640B1" w:rsidRPr="004640B1">
        <w:rPr>
          <w:szCs w:val="24"/>
        </w:rPr>
        <w:t xml:space="preserve"> akcií</w:t>
      </w:r>
      <w:r w:rsidR="006657DF">
        <w:rPr>
          <w:szCs w:val="24"/>
        </w:rPr>
        <w:t xml:space="preserve"> </w:t>
      </w:r>
      <w:r w:rsidR="00E419EE">
        <w:rPr>
          <w:szCs w:val="24"/>
        </w:rPr>
        <w:t>i</w:t>
      </w:r>
      <w:r w:rsidR="004640B1">
        <w:rPr>
          <w:szCs w:val="24"/>
        </w:rPr>
        <w:t xml:space="preserve"> dluhopisů</w:t>
      </w:r>
      <w:r w:rsidR="004D1C94">
        <w:rPr>
          <w:szCs w:val="24"/>
        </w:rPr>
        <w:t xml:space="preserve"> a příslušných podílových fondů</w:t>
      </w:r>
      <w:r w:rsidR="004640B1">
        <w:rPr>
          <w:szCs w:val="24"/>
        </w:rPr>
        <w:t>.</w:t>
      </w:r>
      <w:r w:rsidR="004D1C94">
        <w:rPr>
          <w:szCs w:val="24"/>
        </w:rPr>
        <w:t xml:space="preserve"> Dále penzijní společnosti nabízely 4 alternativní účastnické fondy, </w:t>
      </w:r>
      <w:r w:rsidR="004D1C94" w:rsidRPr="004D1C94">
        <w:rPr>
          <w:szCs w:val="24"/>
        </w:rPr>
        <w:t xml:space="preserve">které mohou investovat do private equity, nemovitostí nebo jiných netradičních aktiv, která mají </w:t>
      </w:r>
      <w:r w:rsidR="004D1C94">
        <w:rPr>
          <w:szCs w:val="24"/>
        </w:rPr>
        <w:t xml:space="preserve">obvykle </w:t>
      </w:r>
      <w:r w:rsidR="004D1C94" w:rsidRPr="004D1C94">
        <w:rPr>
          <w:szCs w:val="24"/>
        </w:rPr>
        <w:t>vyšší výnosový potenciál</w:t>
      </w:r>
      <w:r w:rsidR="004D1C94">
        <w:rPr>
          <w:szCs w:val="24"/>
        </w:rPr>
        <w:t xml:space="preserve">. </w:t>
      </w:r>
      <w:r w:rsidR="00E419EE">
        <w:rPr>
          <w:szCs w:val="24"/>
        </w:rPr>
        <w:t>Investiční strategie z</w:t>
      </w:r>
      <w:r w:rsidR="004D1C94">
        <w:rPr>
          <w:szCs w:val="24"/>
        </w:rPr>
        <w:t xml:space="preserve">bylých 19 účastnických fondů lze považovat za konzervativní, přičemž 9 z nich </w:t>
      </w:r>
      <w:r w:rsidR="00E419EE">
        <w:rPr>
          <w:szCs w:val="24"/>
        </w:rPr>
        <w:t>tvořily</w:t>
      </w:r>
      <w:r w:rsidR="004D1C94">
        <w:rPr>
          <w:szCs w:val="24"/>
        </w:rPr>
        <w:t xml:space="preserve"> povinně nabíze</w:t>
      </w:r>
      <w:r w:rsidR="00E419EE">
        <w:rPr>
          <w:szCs w:val="24"/>
        </w:rPr>
        <w:t>né konzervativní fondy. O</w:t>
      </w:r>
      <w:r w:rsidR="004D1C94">
        <w:rPr>
          <w:szCs w:val="24"/>
        </w:rPr>
        <w:t xml:space="preserve">statní </w:t>
      </w:r>
      <w:r w:rsidR="00E419EE">
        <w:rPr>
          <w:szCs w:val="24"/>
        </w:rPr>
        <w:t xml:space="preserve">konzervativní </w:t>
      </w:r>
      <w:r w:rsidR="004D1C94">
        <w:rPr>
          <w:szCs w:val="24"/>
        </w:rPr>
        <w:t xml:space="preserve">fondy investovaly </w:t>
      </w:r>
      <w:r w:rsidR="00E419EE">
        <w:rPr>
          <w:szCs w:val="24"/>
        </w:rPr>
        <w:t>převážně do dluhopisů a </w:t>
      </w:r>
      <w:r>
        <w:rPr>
          <w:szCs w:val="24"/>
        </w:rPr>
        <w:t>nástrojů peněžního trhu.</w:t>
      </w:r>
    </w:p>
    <w:p w14:paraId="38CC301C" w14:textId="77777777" w:rsidR="007E7DED" w:rsidRDefault="00E06C13" w:rsidP="006657DF">
      <w:pPr>
        <w:spacing w:before="120" w:after="120"/>
        <w:jc w:val="both"/>
        <w:rPr>
          <w:szCs w:val="24"/>
        </w:rPr>
      </w:pPr>
      <w:r w:rsidRPr="00E06C13">
        <w:rPr>
          <w:szCs w:val="24"/>
        </w:rPr>
        <w:t>Z hlediska struktury umístění prostředků účastníků v jednotlivých typech účastnických fondů zaujímaly na konci roku 2025 nejvyšší podíl</w:t>
      </w:r>
      <w:r w:rsidR="007E7DED">
        <w:rPr>
          <w:szCs w:val="24"/>
        </w:rPr>
        <w:t xml:space="preserve"> dynamické fondy (37,4 %), dále vyvážené fondy (24,8 %), povinné konzervativní fondy (18,7 %</w:t>
      </w:r>
      <w:r w:rsidR="00E419EE">
        <w:rPr>
          <w:szCs w:val="24"/>
        </w:rPr>
        <w:t>)</w:t>
      </w:r>
      <w:r w:rsidR="007E7DED">
        <w:rPr>
          <w:szCs w:val="24"/>
        </w:rPr>
        <w:t xml:space="preserve"> </w:t>
      </w:r>
      <w:r w:rsidR="00E419EE">
        <w:rPr>
          <w:szCs w:val="24"/>
        </w:rPr>
        <w:t xml:space="preserve">a </w:t>
      </w:r>
      <w:r w:rsidR="007E7DED">
        <w:rPr>
          <w:szCs w:val="24"/>
        </w:rPr>
        <w:t>ostatní konzervativní fondy (17,9 %)</w:t>
      </w:r>
      <w:r w:rsidR="00E419EE">
        <w:rPr>
          <w:szCs w:val="24"/>
        </w:rPr>
        <w:t xml:space="preserve">. Nejnižší podíl na celkových prostředcích v doplňkovém penzijním spoření pak vykazovaly teprve nedávno vzniklé </w:t>
      </w:r>
      <w:r w:rsidR="007E7DED">
        <w:rPr>
          <w:szCs w:val="24"/>
        </w:rPr>
        <w:t xml:space="preserve">alternativní fondy (1,3 %). Celkové prostředky umístěné v účastnických fondech tvořily na konci roku 47,1 % všech prostředků </w:t>
      </w:r>
      <w:r w:rsidR="005E5958">
        <w:rPr>
          <w:szCs w:val="24"/>
        </w:rPr>
        <w:t xml:space="preserve">účastníků </w:t>
      </w:r>
      <w:r w:rsidR="005E5958" w:rsidRPr="009D2306">
        <w:rPr>
          <w:szCs w:val="24"/>
        </w:rPr>
        <w:t xml:space="preserve">spravovaných </w:t>
      </w:r>
      <w:r w:rsidR="007E7DED" w:rsidRPr="009D2306">
        <w:rPr>
          <w:szCs w:val="24"/>
        </w:rPr>
        <w:t>v doplňkovém penzijním systému.</w:t>
      </w:r>
      <w:r w:rsidR="005E5958" w:rsidRPr="009D2306">
        <w:rPr>
          <w:szCs w:val="24"/>
        </w:rPr>
        <w:t xml:space="preserve"> Více</w:t>
      </w:r>
      <w:r w:rsidR="005E5958">
        <w:rPr>
          <w:szCs w:val="24"/>
        </w:rPr>
        <w:t xml:space="preserve"> jak polovina prostředků tak byla nadále umístěna v transformovaných fondech.</w:t>
      </w:r>
    </w:p>
    <w:p w14:paraId="0C5E799E" w14:textId="77777777" w:rsidR="00D430DC" w:rsidRDefault="005E5958" w:rsidP="007653B4">
      <w:pPr>
        <w:spacing w:before="120" w:after="120"/>
        <w:jc w:val="both"/>
        <w:rPr>
          <w:szCs w:val="24"/>
        </w:rPr>
      </w:pPr>
      <w:r>
        <w:rPr>
          <w:szCs w:val="24"/>
        </w:rPr>
        <w:t>Dotčenými účastníky z hlediska úpravy podmínek nároku na státní příspěvek jsou nezletilí účastníci, jejichž počet k 31. 3. 2026 činil 166,2 tis., a</w:t>
      </w:r>
      <w:r w:rsidR="00FB21A2">
        <w:rPr>
          <w:szCs w:val="24"/>
        </w:rPr>
        <w:t xml:space="preserve"> účastníci ve věku 18 až 29 let, kteří byli zastoupeni v počtu </w:t>
      </w:r>
      <w:r w:rsidR="00FB21A2" w:rsidRPr="009D2306">
        <w:rPr>
          <w:szCs w:val="24"/>
        </w:rPr>
        <w:t>250,6 tis. Změny v regulaci úplat se pak dotýkají všech 3,9 mil. účastníků v doplňkovém penzijním systému.</w:t>
      </w:r>
    </w:p>
    <w:p w14:paraId="1F6C54E7" w14:textId="77777777" w:rsidR="008B65AD" w:rsidRDefault="00AF323E" w:rsidP="008B65AD">
      <w:pPr>
        <w:pStyle w:val="Nadpis2"/>
      </w:pPr>
      <w:bookmarkStart w:id="115" w:name="_Toc231310637"/>
      <w:r>
        <w:t xml:space="preserve">Popis </w:t>
      </w:r>
      <w:r w:rsidRPr="00D03149">
        <w:t>cílového</w:t>
      </w:r>
      <w:r>
        <w:t xml:space="preserve"> stavu</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A01E5BB" w14:textId="77777777" w:rsidR="004F3DBA" w:rsidRDefault="00F8106B" w:rsidP="00FB5CEE">
      <w:pPr>
        <w:spacing w:after="120"/>
        <w:jc w:val="both"/>
        <w:rPr>
          <w:szCs w:val="24"/>
        </w:rPr>
      </w:pPr>
      <w:r w:rsidRPr="00A04778">
        <w:rPr>
          <w:szCs w:val="24"/>
        </w:rPr>
        <w:t xml:space="preserve">Cílem </w:t>
      </w:r>
      <w:r>
        <w:rPr>
          <w:szCs w:val="24"/>
        </w:rPr>
        <w:t xml:space="preserve">návrhu zákona je zvýšení atraktivity a </w:t>
      </w:r>
      <w:r w:rsidRPr="009D2306">
        <w:rPr>
          <w:szCs w:val="24"/>
        </w:rPr>
        <w:t>zefektivnění doplňkového penzijního systému, který</w:t>
      </w:r>
      <w:r>
        <w:rPr>
          <w:szCs w:val="24"/>
        </w:rPr>
        <w:t xml:space="preserve"> bude </w:t>
      </w:r>
      <w:r w:rsidR="0057291E">
        <w:rPr>
          <w:szCs w:val="24"/>
        </w:rPr>
        <w:t xml:space="preserve">lépe </w:t>
      </w:r>
      <w:r>
        <w:rPr>
          <w:szCs w:val="24"/>
        </w:rPr>
        <w:t>schopen doplňovat průběžně financovaný státní důchodový pilíř a zajistí</w:t>
      </w:r>
      <w:r w:rsidRPr="00A04778">
        <w:rPr>
          <w:szCs w:val="24"/>
        </w:rPr>
        <w:t xml:space="preserve"> občanům v</w:t>
      </w:r>
      <w:r>
        <w:rPr>
          <w:szCs w:val="24"/>
        </w:rPr>
        <w:t>yšší finanční jistotu ve stáří</w:t>
      </w:r>
      <w:r w:rsidR="009C2F42">
        <w:rPr>
          <w:szCs w:val="24"/>
        </w:rPr>
        <w:t xml:space="preserve"> v podobě vyšší naspořené částky</w:t>
      </w:r>
      <w:r w:rsidR="00EC3C86">
        <w:rPr>
          <w:szCs w:val="24"/>
        </w:rPr>
        <w:t xml:space="preserve">. Tohoto cíle by mělo být dosaženo </w:t>
      </w:r>
      <w:r>
        <w:rPr>
          <w:szCs w:val="24"/>
        </w:rPr>
        <w:t>posílením motivac</w:t>
      </w:r>
      <w:r w:rsidR="0057291E">
        <w:rPr>
          <w:szCs w:val="24"/>
        </w:rPr>
        <w:t>e</w:t>
      </w:r>
      <w:r>
        <w:rPr>
          <w:szCs w:val="24"/>
        </w:rPr>
        <w:t xml:space="preserve"> </w:t>
      </w:r>
      <w:r>
        <w:rPr>
          <w:szCs w:val="24"/>
        </w:rPr>
        <w:lastRenderedPageBreak/>
        <w:t xml:space="preserve">mladších věkových ročníků k účasti, neboť délka </w:t>
      </w:r>
      <w:r w:rsidR="0083325E">
        <w:rPr>
          <w:szCs w:val="24"/>
        </w:rPr>
        <w:t>spoření</w:t>
      </w:r>
      <w:r>
        <w:rPr>
          <w:szCs w:val="24"/>
        </w:rPr>
        <w:t xml:space="preserve"> významně ovlivňuje celkovou naspořenou částku</w:t>
      </w:r>
      <w:r w:rsidR="00D8706C">
        <w:rPr>
          <w:szCs w:val="24"/>
        </w:rPr>
        <w:t>, a snížením nákladů účtovaných</w:t>
      </w:r>
      <w:r w:rsidR="00EC3C86">
        <w:rPr>
          <w:szCs w:val="24"/>
        </w:rPr>
        <w:t xml:space="preserve"> účastníkům v podobě úplat, neboť tyto snižují dosažený čistý výnos a tím i celkovou naspořenou částku.</w:t>
      </w:r>
      <w:r w:rsidR="00D430DC">
        <w:rPr>
          <w:szCs w:val="24"/>
        </w:rPr>
        <w:t xml:space="preserve"> </w:t>
      </w:r>
    </w:p>
    <w:p w14:paraId="55D6F92B" w14:textId="77777777" w:rsidR="0008134C" w:rsidRPr="0057291E" w:rsidRDefault="00222F64" w:rsidP="00FB5CEE">
      <w:pPr>
        <w:spacing w:after="120"/>
        <w:jc w:val="both"/>
        <w:rPr>
          <w:szCs w:val="24"/>
        </w:rPr>
      </w:pPr>
      <w:r>
        <w:rPr>
          <w:szCs w:val="24"/>
        </w:rPr>
        <w:t>N</w:t>
      </w:r>
      <w:r w:rsidR="00091037">
        <w:rPr>
          <w:szCs w:val="24"/>
        </w:rPr>
        <w:t>a základě výše uvedeného cílový stav spočívá</w:t>
      </w:r>
      <w:r>
        <w:rPr>
          <w:szCs w:val="24"/>
        </w:rPr>
        <w:t xml:space="preserve"> ve zvýšení současného zastoupení mladších věkových ročníků v DPS , k němuž by měla vést </w:t>
      </w:r>
      <w:r w:rsidR="0008134C">
        <w:rPr>
          <w:szCs w:val="24"/>
        </w:rPr>
        <w:t xml:space="preserve">úprava podmínek poskytování státního příspěvku pro </w:t>
      </w:r>
      <w:r>
        <w:rPr>
          <w:szCs w:val="24"/>
        </w:rPr>
        <w:t xml:space="preserve">tyto </w:t>
      </w:r>
      <w:r w:rsidR="0008134C">
        <w:rPr>
          <w:szCs w:val="24"/>
        </w:rPr>
        <w:t>mladší věkové ročníky</w:t>
      </w:r>
      <w:r>
        <w:rPr>
          <w:szCs w:val="24"/>
        </w:rPr>
        <w:t xml:space="preserve">. Dále cílový stav předpokládá snížení vlivu úplat na celkovou naspořenou částku, což by měla zajistit </w:t>
      </w:r>
      <w:r w:rsidR="0008134C">
        <w:rPr>
          <w:szCs w:val="24"/>
        </w:rPr>
        <w:t xml:space="preserve">úprava zákonných limitů úplat penzijní společnosti. </w:t>
      </w:r>
    </w:p>
    <w:p w14:paraId="3321D657" w14:textId="77777777" w:rsidR="00223D26" w:rsidRDefault="001A5E0D" w:rsidP="0071138D">
      <w:pPr>
        <w:pStyle w:val="Nadpis2"/>
      </w:pPr>
      <w:bookmarkStart w:id="116" w:name="_Toc418509336"/>
      <w:bookmarkStart w:id="117" w:name="_Toc418511043"/>
      <w:bookmarkStart w:id="118" w:name="_Toc418511460"/>
      <w:bookmarkStart w:id="119" w:name="_Toc423508409"/>
      <w:bookmarkStart w:id="120" w:name="_Toc3289552"/>
      <w:bookmarkStart w:id="121" w:name="_Toc4587312"/>
      <w:bookmarkStart w:id="122" w:name="_Toc8730938"/>
      <w:bookmarkStart w:id="123" w:name="_Toc11764015"/>
      <w:bookmarkStart w:id="124" w:name="_Toc24964557"/>
      <w:bookmarkStart w:id="125" w:name="_Toc190782520"/>
      <w:bookmarkStart w:id="126" w:name="_Toc202178965"/>
      <w:bookmarkStart w:id="127" w:name="_Toc227742393"/>
      <w:bookmarkStart w:id="128" w:name="_Toc229662655"/>
      <w:bookmarkStart w:id="129" w:name="_Toc231310638"/>
      <w:r>
        <w:t>Zhodnocení rizika</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34289AC7" w14:textId="77777777" w:rsidR="003D455E" w:rsidRDefault="003D455E" w:rsidP="002F6951">
      <w:pPr>
        <w:pStyle w:val="Bezmezer"/>
        <w:spacing w:before="0" w:after="120"/>
        <w:rPr>
          <w:szCs w:val="24"/>
        </w:rPr>
      </w:pPr>
      <w:r>
        <w:rPr>
          <w:szCs w:val="24"/>
        </w:rPr>
        <w:t xml:space="preserve">Riziko nepřijetí navrhované právní úpravy v oblasti </w:t>
      </w:r>
      <w:r w:rsidR="00DF2FB5">
        <w:rPr>
          <w:szCs w:val="24"/>
        </w:rPr>
        <w:t xml:space="preserve">nároků na statní příspěvek </w:t>
      </w:r>
      <w:r>
        <w:rPr>
          <w:szCs w:val="24"/>
        </w:rPr>
        <w:t>spočívá v pokračujícím nedostatečném zapojení mladších věkových kategorií v doplňkovém penzijním spoření. Pozdější zapojení do doplňkového penzijního spoření až ve věku nad 30 let, které je v současné době obvyklé, vede</w:t>
      </w:r>
      <w:r w:rsidR="00DE5A56">
        <w:rPr>
          <w:szCs w:val="24"/>
        </w:rPr>
        <w:t xml:space="preserve"> z důvodu kratší doby spoření</w:t>
      </w:r>
      <w:r>
        <w:rPr>
          <w:szCs w:val="24"/>
        </w:rPr>
        <w:t xml:space="preserve"> k nižší konečné </w:t>
      </w:r>
      <w:r w:rsidR="00164E31">
        <w:rPr>
          <w:szCs w:val="24"/>
        </w:rPr>
        <w:t>naspořené</w:t>
      </w:r>
      <w:r>
        <w:rPr>
          <w:szCs w:val="24"/>
        </w:rPr>
        <w:t xml:space="preserve"> částce. </w:t>
      </w:r>
      <w:r w:rsidR="00DE5A56">
        <w:rPr>
          <w:szCs w:val="24"/>
        </w:rPr>
        <w:t xml:space="preserve">Riziko </w:t>
      </w:r>
      <w:r w:rsidR="00DF2FB5">
        <w:rPr>
          <w:szCs w:val="24"/>
        </w:rPr>
        <w:t xml:space="preserve">nepřijetí úpravy zákonných limitů úplat penzijních společností by </w:t>
      </w:r>
      <w:r w:rsidR="00DE5A56">
        <w:rPr>
          <w:szCs w:val="24"/>
        </w:rPr>
        <w:t xml:space="preserve">spočívalo v </w:t>
      </w:r>
      <w:r w:rsidR="00DF2FB5">
        <w:rPr>
          <w:szCs w:val="24"/>
        </w:rPr>
        <w:t xml:space="preserve">nepromítnutí </w:t>
      </w:r>
      <w:r w:rsidR="00164E31">
        <w:rPr>
          <w:szCs w:val="24"/>
        </w:rPr>
        <w:t xml:space="preserve">postupně dosahovaných </w:t>
      </w:r>
      <w:r w:rsidR="00DF2FB5">
        <w:rPr>
          <w:szCs w:val="24"/>
        </w:rPr>
        <w:t xml:space="preserve">úspor z rozsahu </w:t>
      </w:r>
      <w:r w:rsidR="00164E31">
        <w:rPr>
          <w:szCs w:val="24"/>
        </w:rPr>
        <w:t xml:space="preserve">penzijních společností </w:t>
      </w:r>
      <w:r w:rsidR="00DF2FB5" w:rsidRPr="00DF2FB5">
        <w:rPr>
          <w:szCs w:val="24"/>
        </w:rPr>
        <w:t>při správě rostoucího objemu prostředků</w:t>
      </w:r>
      <w:r w:rsidR="00DF2FB5">
        <w:rPr>
          <w:szCs w:val="24"/>
        </w:rPr>
        <w:t xml:space="preserve"> do </w:t>
      </w:r>
      <w:r w:rsidR="00164E31">
        <w:rPr>
          <w:szCs w:val="24"/>
        </w:rPr>
        <w:t xml:space="preserve">snížení </w:t>
      </w:r>
      <w:r w:rsidR="00DE5A56">
        <w:rPr>
          <w:szCs w:val="24"/>
        </w:rPr>
        <w:t xml:space="preserve">skutečně účtovaných </w:t>
      </w:r>
      <w:r w:rsidR="00164E31">
        <w:rPr>
          <w:szCs w:val="24"/>
        </w:rPr>
        <w:t>úplat účtovaným účastníkům, které významně ovlivňují</w:t>
      </w:r>
      <w:r w:rsidR="007A4575">
        <w:rPr>
          <w:szCs w:val="24"/>
        </w:rPr>
        <w:t xml:space="preserve"> výši konečné naspořené částky.</w:t>
      </w:r>
    </w:p>
    <w:p w14:paraId="14C68F99" w14:textId="77777777" w:rsidR="00B9641C" w:rsidRPr="00B9641C" w:rsidRDefault="002F6951" w:rsidP="002F6951">
      <w:pPr>
        <w:pStyle w:val="Bezmezer"/>
        <w:spacing w:before="0" w:after="120"/>
      </w:pPr>
      <w:r w:rsidRPr="009D2306">
        <w:rPr>
          <w:szCs w:val="24"/>
        </w:rPr>
        <w:t>Nepřijetím navrhované právní úpravy</w:t>
      </w:r>
      <w:r w:rsidR="0048240A" w:rsidRPr="009D2306">
        <w:rPr>
          <w:szCs w:val="24"/>
        </w:rPr>
        <w:t xml:space="preserve"> </w:t>
      </w:r>
      <w:r w:rsidR="0064359B" w:rsidRPr="009D2306">
        <w:rPr>
          <w:szCs w:val="24"/>
        </w:rPr>
        <w:t>by nedošlo ke zvýšení atraktivity a zefektivnění doplňkového penzijního systému, který</w:t>
      </w:r>
      <w:r w:rsidR="0064359B" w:rsidRPr="009C380B">
        <w:rPr>
          <w:szCs w:val="24"/>
        </w:rPr>
        <w:t xml:space="preserve"> by byl schopen </w:t>
      </w:r>
      <w:r w:rsidR="00164E31">
        <w:rPr>
          <w:szCs w:val="24"/>
        </w:rPr>
        <w:t xml:space="preserve">vhledem k očekávánému zvýšení konečné naspořené částky </w:t>
      </w:r>
      <w:r w:rsidR="00361C33">
        <w:rPr>
          <w:szCs w:val="24"/>
        </w:rPr>
        <w:t xml:space="preserve">lépe </w:t>
      </w:r>
      <w:r w:rsidR="0064359B" w:rsidRPr="009C380B">
        <w:rPr>
          <w:szCs w:val="24"/>
        </w:rPr>
        <w:t>doplňovat průběžně financovaný státní důchodový pilíř a</w:t>
      </w:r>
      <w:r w:rsidR="006150A5">
        <w:rPr>
          <w:szCs w:val="24"/>
        </w:rPr>
        <w:t> </w:t>
      </w:r>
      <w:r w:rsidR="0064359B" w:rsidRPr="009C380B">
        <w:rPr>
          <w:szCs w:val="24"/>
        </w:rPr>
        <w:t>zajistil tak občanům vyšší finanční jistotu ve stáří.</w:t>
      </w:r>
      <w:r w:rsidR="0048240A">
        <w:rPr>
          <w:szCs w:val="24"/>
        </w:rPr>
        <w:t xml:space="preserve"> </w:t>
      </w:r>
      <w:r w:rsidR="006150A5">
        <w:rPr>
          <w:szCs w:val="24"/>
        </w:rPr>
        <w:t xml:space="preserve">Nepřijetím změn příslušné regulace by </w:t>
      </w:r>
      <w:r w:rsidR="00164E31">
        <w:rPr>
          <w:szCs w:val="24"/>
        </w:rPr>
        <w:t>také mohlo</w:t>
      </w:r>
      <w:r w:rsidR="006150A5">
        <w:rPr>
          <w:szCs w:val="24"/>
        </w:rPr>
        <w:t xml:space="preserve"> </w:t>
      </w:r>
      <w:r w:rsidR="00164E31">
        <w:rPr>
          <w:szCs w:val="24"/>
        </w:rPr>
        <w:t>dojí</w:t>
      </w:r>
      <w:r w:rsidR="007013DC">
        <w:rPr>
          <w:szCs w:val="24"/>
        </w:rPr>
        <w:t>t</w:t>
      </w:r>
      <w:r w:rsidR="00164E31">
        <w:rPr>
          <w:szCs w:val="24"/>
        </w:rPr>
        <w:t xml:space="preserve"> </w:t>
      </w:r>
      <w:r w:rsidR="006150A5">
        <w:rPr>
          <w:szCs w:val="24"/>
        </w:rPr>
        <w:t xml:space="preserve">ke zklamání důvěry občanů, jelikož veřejná a mediální diskuse k nastavení důležitých aspektů systému je dlouhodobá a je očekáván návrh změn </w:t>
      </w:r>
      <w:r w:rsidR="005B38D9">
        <w:rPr>
          <w:szCs w:val="24"/>
        </w:rPr>
        <w:t xml:space="preserve">avizovaných </w:t>
      </w:r>
      <w:r w:rsidR="006150A5">
        <w:rPr>
          <w:szCs w:val="24"/>
        </w:rPr>
        <w:t xml:space="preserve">v Programovém prohlášení vlády. </w:t>
      </w:r>
    </w:p>
    <w:p w14:paraId="207FA91D" w14:textId="77777777" w:rsidR="00C064C9" w:rsidRPr="00C064C9" w:rsidRDefault="00D96057" w:rsidP="00285640">
      <w:pPr>
        <w:pStyle w:val="Nadpis1"/>
      </w:pPr>
      <w:bookmarkStart w:id="130" w:name="_Toc8730939"/>
      <w:bookmarkStart w:id="131" w:name="_Toc11764016"/>
      <w:bookmarkStart w:id="132" w:name="_Toc24964558"/>
      <w:bookmarkStart w:id="133" w:name="_Toc190782521"/>
      <w:bookmarkStart w:id="134" w:name="_Toc202178966"/>
      <w:bookmarkStart w:id="135" w:name="_Toc227742394"/>
      <w:bookmarkStart w:id="136" w:name="_Toc229662656"/>
      <w:bookmarkStart w:id="137" w:name="_Toc231310639"/>
      <w:bookmarkStart w:id="138" w:name="_Toc403139870"/>
      <w:bookmarkStart w:id="139" w:name="_Toc418509337"/>
      <w:bookmarkStart w:id="140" w:name="_Toc418511044"/>
      <w:bookmarkStart w:id="141" w:name="_Toc418511461"/>
      <w:bookmarkStart w:id="142" w:name="_Toc423508410"/>
      <w:bookmarkStart w:id="143" w:name="_Toc3289553"/>
      <w:bookmarkStart w:id="144" w:name="_Toc4587313"/>
      <w:r w:rsidRPr="00C064C9">
        <w:t>Návrh variant</w:t>
      </w:r>
      <w:r w:rsidR="00517A32" w:rsidRPr="00C064C9">
        <w:t xml:space="preserve"> řešení</w:t>
      </w:r>
      <w:r w:rsidRPr="00C064C9">
        <w:t xml:space="preserve"> </w:t>
      </w:r>
      <w:r w:rsidR="00517A32" w:rsidRPr="00C064C9">
        <w:t xml:space="preserve">a </w:t>
      </w:r>
      <w:r w:rsidRPr="00C064C9">
        <w:t>vyhodnocení</w:t>
      </w:r>
      <w:bookmarkEnd w:id="130"/>
      <w:bookmarkEnd w:id="131"/>
      <w:bookmarkEnd w:id="132"/>
      <w:r w:rsidR="00173A84">
        <w:t xml:space="preserve"> jejich nákladů a přínosů</w:t>
      </w:r>
      <w:bookmarkEnd w:id="133"/>
      <w:bookmarkEnd w:id="134"/>
      <w:bookmarkEnd w:id="135"/>
      <w:bookmarkEnd w:id="136"/>
      <w:bookmarkEnd w:id="137"/>
    </w:p>
    <w:p w14:paraId="5C8790C7" w14:textId="77777777" w:rsidR="00C064C9" w:rsidRPr="00937CA6" w:rsidRDefault="00C064C9" w:rsidP="00660CC6">
      <w:pPr>
        <w:pStyle w:val="Nadpis2"/>
      </w:pPr>
      <w:bookmarkStart w:id="145" w:name="_Toc8730942"/>
      <w:bookmarkStart w:id="146" w:name="_Toc11764019"/>
      <w:bookmarkStart w:id="147" w:name="_Toc24964561"/>
      <w:bookmarkStart w:id="148" w:name="_Toc190782524"/>
      <w:bookmarkStart w:id="149" w:name="_Toc202178969"/>
      <w:bookmarkStart w:id="150" w:name="_Toc227742395"/>
      <w:bookmarkStart w:id="151" w:name="_Toc229662657"/>
      <w:bookmarkStart w:id="152" w:name="_Toc231310640"/>
      <w:r w:rsidRPr="00937CA6">
        <w:t>Způsob hodnocení dopadů</w:t>
      </w:r>
      <w:bookmarkEnd w:id="145"/>
      <w:bookmarkEnd w:id="146"/>
      <w:bookmarkEnd w:id="147"/>
      <w:bookmarkEnd w:id="148"/>
      <w:bookmarkEnd w:id="149"/>
      <w:bookmarkEnd w:id="150"/>
      <w:bookmarkEnd w:id="151"/>
      <w:bookmarkEnd w:id="152"/>
    </w:p>
    <w:p w14:paraId="57CA1AED" w14:textId="77777777" w:rsidR="00705233" w:rsidRPr="00BA7E70" w:rsidRDefault="00C064C9" w:rsidP="00BA7E70">
      <w:pPr>
        <w:spacing w:after="120"/>
        <w:jc w:val="both"/>
      </w:pPr>
      <w:r w:rsidRPr="00B9641C">
        <w:t xml:space="preserve">U každého </w:t>
      </w:r>
      <w:r w:rsidR="00B9641C" w:rsidRPr="00B9641C">
        <w:t xml:space="preserve">problému </w:t>
      </w:r>
      <w:r w:rsidRPr="00B9641C">
        <w:t>jsou identifikovány varianty řešení a jejich dopady, na jejichž základě jsou varianty následně hodnoceny z hlediska vhodnosti</w:t>
      </w:r>
      <w:r w:rsidR="00B9641C" w:rsidRPr="00B9641C">
        <w:t xml:space="preserve"> jejich implementace</w:t>
      </w:r>
      <w:r w:rsidRPr="00B9641C">
        <w:t xml:space="preserve">. Při tomto hodnocení </w:t>
      </w:r>
      <w:r w:rsidR="00705233" w:rsidRPr="00B9641C">
        <w:t>dopadů u </w:t>
      </w:r>
      <w:r w:rsidRPr="00B9641C">
        <w:t xml:space="preserve">jednotlivých variant byla zvolena hodnotící škála, kde znaménko „+“ ilustruje </w:t>
      </w:r>
      <w:r w:rsidR="007D3D8C" w:rsidRPr="00B9641C">
        <w:t>přínos (</w:t>
      </w:r>
      <w:r w:rsidRPr="00B9641C">
        <w:t>výhodu</w:t>
      </w:r>
      <w:r w:rsidR="007D3D8C" w:rsidRPr="00B9641C">
        <w:t>)</w:t>
      </w:r>
      <w:r w:rsidRPr="00B9641C">
        <w:t xml:space="preserve"> a znaménko „</w:t>
      </w:r>
      <w:r w:rsidRPr="00B9641C">
        <w:noBreakHyphen/>
        <w:t xml:space="preserve">“ </w:t>
      </w:r>
      <w:r w:rsidR="007D3D8C" w:rsidRPr="00B9641C">
        <w:t>náklad (</w:t>
      </w:r>
      <w:r w:rsidRPr="00B9641C">
        <w:t>nevýhodu</w:t>
      </w:r>
      <w:r w:rsidR="007D3D8C" w:rsidRPr="00B9641C">
        <w:t>)</w:t>
      </w:r>
      <w:r w:rsidRPr="00B9641C">
        <w:t xml:space="preserve"> oproti současnému stavu. Počet znamének poté znázorňuje intenzitu dané výhody, resp. nevýhody. Symbol „0“ signalizuje stav, kdy je dopad z hlediska současného stavu nulový.</w:t>
      </w:r>
    </w:p>
    <w:p w14:paraId="7F77E0DE" w14:textId="77777777" w:rsidR="002B41E7" w:rsidRDefault="003E11DB" w:rsidP="00660CC6">
      <w:pPr>
        <w:pStyle w:val="Nadpis2"/>
      </w:pPr>
      <w:bookmarkStart w:id="153" w:name="_Toc8730943"/>
      <w:bookmarkStart w:id="154" w:name="_Toc11764020"/>
      <w:bookmarkStart w:id="155" w:name="_Toc24964562"/>
      <w:bookmarkStart w:id="156" w:name="_Toc190782525"/>
      <w:bookmarkStart w:id="157" w:name="_Toc202178970"/>
      <w:bookmarkStart w:id="158" w:name="_Toc227742396"/>
      <w:bookmarkStart w:id="159" w:name="_Toc229662658"/>
      <w:bookmarkStart w:id="160" w:name="_Toc231310641"/>
      <w:r>
        <w:t>Seznam řešených problémů</w:t>
      </w:r>
      <w:r w:rsidR="00C064C9">
        <w:t>:</w:t>
      </w:r>
      <w:bookmarkEnd w:id="153"/>
      <w:bookmarkEnd w:id="154"/>
      <w:bookmarkEnd w:id="155"/>
      <w:bookmarkEnd w:id="156"/>
      <w:bookmarkEnd w:id="157"/>
      <w:bookmarkEnd w:id="158"/>
      <w:bookmarkEnd w:id="159"/>
      <w:bookmarkEnd w:id="160"/>
    </w:p>
    <w:sdt>
      <w:sdtPr>
        <w:id w:val="1337644423"/>
        <w:docPartObj>
          <w:docPartGallery w:val="Table of Contents"/>
          <w:docPartUnique/>
        </w:docPartObj>
      </w:sdtPr>
      <w:sdtEndPr>
        <w:rPr>
          <w:bCs/>
        </w:rPr>
      </w:sdtEndPr>
      <w:sdtContent>
        <w:p w14:paraId="34FA9EA2" w14:textId="15BE6D7F" w:rsidR="00740AF4" w:rsidRPr="00740AF4" w:rsidRDefault="002B41E7" w:rsidP="00EF1835">
          <w:pPr>
            <w:pStyle w:val="Obsah1"/>
            <w:tabs>
              <w:tab w:val="right" w:leader="dot" w:pos="9062"/>
            </w:tabs>
            <w:spacing w:after="120" w:line="240" w:lineRule="auto"/>
            <w:rPr>
              <w:rFonts w:asciiTheme="minorHAnsi" w:eastAsiaTheme="minorEastAsia" w:hAnsiTheme="minorHAnsi" w:cstheme="minorBidi"/>
              <w:noProof/>
              <w:lang w:eastAsia="cs-CZ"/>
            </w:rPr>
          </w:pPr>
          <w:r w:rsidRPr="00740AF4">
            <w:fldChar w:fldCharType="begin"/>
          </w:r>
          <w:r w:rsidRPr="00740AF4">
            <w:instrText xml:space="preserve"> TOC \o "1-3" \h \z \u </w:instrText>
          </w:r>
          <w:r w:rsidRPr="00740AF4">
            <w:fldChar w:fldCharType="separate"/>
          </w:r>
          <w:hyperlink w:anchor="_Toc229662659" w:history="1">
            <w:r w:rsidR="00740AF4" w:rsidRPr="00740AF4">
              <w:rPr>
                <w:rStyle w:val="Hypertextovodkaz"/>
                <w:noProof/>
              </w:rPr>
              <w:t>Snížení limitů na úplatu penzijních společností</w:t>
            </w:r>
            <w:r w:rsidR="00740AF4" w:rsidRPr="00740AF4">
              <w:rPr>
                <w:noProof/>
                <w:webHidden/>
              </w:rPr>
              <w:tab/>
            </w:r>
            <w:r w:rsidR="00740AF4" w:rsidRPr="00740AF4">
              <w:rPr>
                <w:noProof/>
                <w:webHidden/>
              </w:rPr>
              <w:fldChar w:fldCharType="begin"/>
            </w:r>
            <w:r w:rsidR="00740AF4" w:rsidRPr="00740AF4">
              <w:rPr>
                <w:noProof/>
                <w:webHidden/>
              </w:rPr>
              <w:instrText xml:space="preserve"> PAGEREF _Toc229662659 \h </w:instrText>
            </w:r>
            <w:r w:rsidR="00740AF4" w:rsidRPr="00740AF4">
              <w:rPr>
                <w:noProof/>
                <w:webHidden/>
              </w:rPr>
            </w:r>
            <w:r w:rsidR="00740AF4" w:rsidRPr="00740AF4">
              <w:rPr>
                <w:noProof/>
                <w:webHidden/>
              </w:rPr>
              <w:fldChar w:fldCharType="separate"/>
            </w:r>
            <w:r w:rsidR="00395AFE">
              <w:rPr>
                <w:noProof/>
                <w:webHidden/>
              </w:rPr>
              <w:t>8</w:t>
            </w:r>
            <w:r w:rsidR="00740AF4" w:rsidRPr="00740AF4">
              <w:rPr>
                <w:noProof/>
                <w:webHidden/>
              </w:rPr>
              <w:fldChar w:fldCharType="end"/>
            </w:r>
          </w:hyperlink>
        </w:p>
        <w:p w14:paraId="0DA47B9B" w14:textId="503A85AE" w:rsidR="00740AF4" w:rsidRPr="00740AF4" w:rsidRDefault="00C904AE" w:rsidP="00EF1835">
          <w:pPr>
            <w:pStyle w:val="Obsah3"/>
            <w:tabs>
              <w:tab w:val="right" w:leader="dot" w:pos="9062"/>
            </w:tabs>
            <w:spacing w:after="120" w:line="240" w:lineRule="auto"/>
            <w:ind w:left="0"/>
            <w:rPr>
              <w:rFonts w:asciiTheme="minorHAnsi" w:eastAsiaTheme="minorEastAsia" w:hAnsiTheme="minorHAnsi" w:cstheme="minorBidi"/>
              <w:noProof/>
              <w:lang w:eastAsia="cs-CZ"/>
            </w:rPr>
          </w:pPr>
          <w:hyperlink w:anchor="_Toc229662660" w:history="1">
            <w:r w:rsidR="00740AF4" w:rsidRPr="00740AF4">
              <w:rPr>
                <w:rStyle w:val="Hypertextovodkaz"/>
                <w:noProof/>
              </w:rPr>
              <w:t>Snížení podmínky nároku na státní příspěvek spočívající v minimální výši příspě</w:t>
            </w:r>
            <w:r w:rsidR="00740AF4">
              <w:rPr>
                <w:rStyle w:val="Hypertextovodkaz"/>
                <w:noProof/>
              </w:rPr>
              <w:t>vku účastníka u </w:t>
            </w:r>
            <w:r w:rsidR="00740AF4" w:rsidRPr="00740AF4">
              <w:rPr>
                <w:rStyle w:val="Hypertextovodkaz"/>
                <w:noProof/>
              </w:rPr>
              <w:t>nezletilých účastníků</w:t>
            </w:r>
            <w:r w:rsidR="00740AF4" w:rsidRPr="00740AF4">
              <w:rPr>
                <w:noProof/>
                <w:webHidden/>
              </w:rPr>
              <w:tab/>
            </w:r>
            <w:r w:rsidR="00740AF4" w:rsidRPr="00740AF4">
              <w:rPr>
                <w:noProof/>
                <w:webHidden/>
              </w:rPr>
              <w:fldChar w:fldCharType="begin"/>
            </w:r>
            <w:r w:rsidR="00740AF4" w:rsidRPr="00740AF4">
              <w:rPr>
                <w:noProof/>
                <w:webHidden/>
              </w:rPr>
              <w:instrText xml:space="preserve"> PAGEREF _Toc229662660 \h </w:instrText>
            </w:r>
            <w:r w:rsidR="00740AF4" w:rsidRPr="00740AF4">
              <w:rPr>
                <w:noProof/>
                <w:webHidden/>
              </w:rPr>
            </w:r>
            <w:r w:rsidR="00740AF4" w:rsidRPr="00740AF4">
              <w:rPr>
                <w:noProof/>
                <w:webHidden/>
              </w:rPr>
              <w:fldChar w:fldCharType="separate"/>
            </w:r>
            <w:r w:rsidR="00395AFE">
              <w:rPr>
                <w:noProof/>
                <w:webHidden/>
              </w:rPr>
              <w:t>16</w:t>
            </w:r>
            <w:r w:rsidR="00740AF4" w:rsidRPr="00740AF4">
              <w:rPr>
                <w:noProof/>
                <w:webHidden/>
              </w:rPr>
              <w:fldChar w:fldCharType="end"/>
            </w:r>
          </w:hyperlink>
        </w:p>
        <w:p w14:paraId="7A26991C" w14:textId="797D1BC5" w:rsidR="00740AF4" w:rsidRPr="00740AF4" w:rsidRDefault="00C904AE" w:rsidP="00EF1835">
          <w:pPr>
            <w:pStyle w:val="Obsah3"/>
            <w:tabs>
              <w:tab w:val="right" w:leader="dot" w:pos="9062"/>
            </w:tabs>
            <w:spacing w:after="120" w:line="240" w:lineRule="auto"/>
            <w:ind w:left="0"/>
            <w:rPr>
              <w:rFonts w:asciiTheme="minorHAnsi" w:eastAsiaTheme="minorEastAsia" w:hAnsiTheme="minorHAnsi" w:cstheme="minorBidi"/>
              <w:noProof/>
              <w:lang w:eastAsia="cs-CZ"/>
            </w:rPr>
          </w:pPr>
          <w:hyperlink w:anchor="_Toc229662661" w:history="1">
            <w:r w:rsidR="00740AF4" w:rsidRPr="00740AF4">
              <w:rPr>
                <w:rStyle w:val="Hypertextovodkaz"/>
                <w:noProof/>
              </w:rPr>
              <w:t>Poskytování procentuálně vyššího státního příspěvku nezletilým a mladým dospělým účastníkům</w:t>
            </w:r>
            <w:r w:rsidR="00740AF4" w:rsidRPr="00740AF4">
              <w:rPr>
                <w:noProof/>
                <w:webHidden/>
              </w:rPr>
              <w:tab/>
            </w:r>
            <w:r w:rsidR="00740AF4" w:rsidRPr="00740AF4">
              <w:rPr>
                <w:noProof/>
                <w:webHidden/>
              </w:rPr>
              <w:fldChar w:fldCharType="begin"/>
            </w:r>
            <w:r w:rsidR="00740AF4" w:rsidRPr="00740AF4">
              <w:rPr>
                <w:noProof/>
                <w:webHidden/>
              </w:rPr>
              <w:instrText xml:space="preserve"> PAGEREF _Toc229662661 \h </w:instrText>
            </w:r>
            <w:r w:rsidR="00740AF4" w:rsidRPr="00740AF4">
              <w:rPr>
                <w:noProof/>
                <w:webHidden/>
              </w:rPr>
            </w:r>
            <w:r w:rsidR="00740AF4" w:rsidRPr="00740AF4">
              <w:rPr>
                <w:noProof/>
                <w:webHidden/>
              </w:rPr>
              <w:fldChar w:fldCharType="separate"/>
            </w:r>
            <w:r w:rsidR="00395AFE">
              <w:rPr>
                <w:noProof/>
                <w:webHidden/>
              </w:rPr>
              <w:t>21</w:t>
            </w:r>
            <w:r w:rsidR="00740AF4" w:rsidRPr="00740AF4">
              <w:rPr>
                <w:noProof/>
                <w:webHidden/>
              </w:rPr>
              <w:fldChar w:fldCharType="end"/>
            </w:r>
          </w:hyperlink>
        </w:p>
        <w:p w14:paraId="35CCC307" w14:textId="77777777" w:rsidR="002B41E7" w:rsidRPr="002B41E7" w:rsidRDefault="002B41E7" w:rsidP="00EF1835">
          <w:pPr>
            <w:pStyle w:val="Obsah3"/>
            <w:tabs>
              <w:tab w:val="right" w:leader="dot" w:pos="9457"/>
            </w:tabs>
            <w:spacing w:after="120" w:line="240" w:lineRule="auto"/>
            <w:ind w:left="0"/>
            <w:rPr>
              <w:rFonts w:asciiTheme="minorHAnsi" w:eastAsiaTheme="minorEastAsia" w:hAnsiTheme="minorHAnsi" w:cstheme="minorBidi"/>
              <w:noProof/>
              <w:lang w:eastAsia="cs-CZ"/>
            </w:rPr>
          </w:pPr>
          <w:r w:rsidRPr="00740AF4">
            <w:rPr>
              <w:bCs/>
            </w:rPr>
            <w:fldChar w:fldCharType="end"/>
          </w:r>
        </w:p>
      </w:sdtContent>
    </w:sdt>
    <w:p w14:paraId="0B62C720" w14:textId="77777777" w:rsidR="0013475B" w:rsidRDefault="00A110F3" w:rsidP="00A110F3">
      <w:r>
        <w:br w:type="page"/>
      </w:r>
    </w:p>
    <w:p w14:paraId="677DD975" w14:textId="77777777" w:rsidR="00A03F2C" w:rsidRPr="00A03F2C" w:rsidRDefault="00A03F2C" w:rsidP="00A03F2C">
      <w:pPr>
        <w:pBdr>
          <w:top w:val="single" w:sz="8" w:space="1" w:color="auto"/>
          <w:left w:val="single" w:sz="8" w:space="1" w:color="auto"/>
          <w:bottom w:val="single" w:sz="8" w:space="1" w:color="auto"/>
          <w:right w:val="single" w:sz="8" w:space="1" w:color="auto"/>
        </w:pBdr>
        <w:shd w:val="clear" w:color="auto" w:fill="C6D9F1"/>
        <w:suppressAutoHyphens w:val="0"/>
        <w:spacing w:after="0"/>
        <w:jc w:val="center"/>
        <w:outlineLvl w:val="2"/>
        <w:rPr>
          <w:b/>
          <w:sz w:val="32"/>
        </w:rPr>
      </w:pPr>
      <w:bookmarkStart w:id="161" w:name="_Toc229662659"/>
      <w:bookmarkStart w:id="162" w:name="_Toc231310642"/>
      <w:r w:rsidRPr="00A03F2C">
        <w:rPr>
          <w:b/>
          <w:sz w:val="32"/>
        </w:rPr>
        <w:lastRenderedPageBreak/>
        <w:t>Snížení limitů na úplatu penzijních společností</w:t>
      </w:r>
      <w:bookmarkEnd w:id="161"/>
      <w:bookmarkEnd w:id="162"/>
    </w:p>
    <w:p w14:paraId="620C5E9B" w14:textId="77777777" w:rsidR="00A03F2C" w:rsidRPr="00A03F2C" w:rsidRDefault="00A03F2C" w:rsidP="00A03F2C">
      <w:pPr>
        <w:pBdr>
          <w:bottom w:val="single" w:sz="12" w:space="1" w:color="auto"/>
        </w:pBdr>
        <w:shd w:val="clear" w:color="auto" w:fill="FFFFFF"/>
        <w:suppressAutoHyphens w:val="0"/>
        <w:spacing w:before="240" w:after="60"/>
        <w:outlineLvl w:val="4"/>
        <w:rPr>
          <w:b/>
          <w:sz w:val="24"/>
        </w:rPr>
      </w:pPr>
      <w:r w:rsidRPr="00A03F2C">
        <w:rPr>
          <w:b/>
          <w:sz w:val="24"/>
        </w:rPr>
        <w:t xml:space="preserve">A) </w:t>
      </w:r>
      <w:r w:rsidRPr="00A03F2C">
        <w:rPr>
          <w:b/>
          <w:caps/>
          <w:sz w:val="24"/>
        </w:rPr>
        <w:t>Popis problému s vymezením variant</w:t>
      </w:r>
    </w:p>
    <w:p w14:paraId="0F9638E1" w14:textId="4E21CFD4" w:rsidR="00A03F2C" w:rsidRPr="00A03F2C" w:rsidRDefault="00A03F2C" w:rsidP="00A03F2C">
      <w:pPr>
        <w:spacing w:after="120"/>
        <w:jc w:val="both"/>
      </w:pPr>
      <w:r w:rsidRPr="00A03F2C">
        <w:t>Faktorem, který důležitou měrou ovlivňuje koncovou naspořenou částku úč</w:t>
      </w:r>
      <w:r w:rsidR="00AE45FE">
        <w:t>astníka doplňkového penzijního systému</w:t>
      </w:r>
      <w:r w:rsidRPr="00A03F2C">
        <w:t xml:space="preserve">, je </w:t>
      </w:r>
      <w:r w:rsidR="00D8706C">
        <w:t xml:space="preserve">zhodnocení prostředků účastníků. </w:t>
      </w:r>
      <w:r w:rsidR="00D8706C" w:rsidRPr="00D8706C">
        <w:t>To je pak ovlivn</w:t>
      </w:r>
      <w:r w:rsidR="00CF62D0">
        <w:t>ěno dvěma faktory</w:t>
      </w:r>
      <w:r w:rsidR="00D8706C">
        <w:t xml:space="preserve"> </w:t>
      </w:r>
      <w:r w:rsidR="00CF62D0">
        <w:t xml:space="preserve">– </w:t>
      </w:r>
      <w:r w:rsidRPr="00A03F2C">
        <w:t>výkonnost</w:t>
      </w:r>
      <w:r w:rsidR="00D8706C">
        <w:t>í</w:t>
      </w:r>
      <w:r w:rsidRPr="00A03F2C">
        <w:t xml:space="preserve"> penzijních fondů</w:t>
      </w:r>
      <w:r w:rsidR="00D8706C">
        <w:t xml:space="preserve">, </w:t>
      </w:r>
      <w:r w:rsidR="00D8706C" w:rsidRPr="00D8706C">
        <w:t>tedy jejich schopností zhodnotit prostředky, a účtovanými poplatky (dále označované jako „úplata“)</w:t>
      </w:r>
      <w:r w:rsidRPr="00A03F2C">
        <w:t xml:space="preserve">. </w:t>
      </w:r>
      <w:r w:rsidR="0095235D">
        <w:t>Z</w:t>
      </w:r>
      <w:r w:rsidRPr="00A03F2C">
        <w:t>ákon č. 427/2011 Sb., o doplňkovém penzijním spoření stanovuje maximální limity na úplatu, kterou mohou penzijní společnosti účtovat účastníkům.</w:t>
      </w:r>
      <w:r w:rsidRPr="00A03F2C">
        <w:rPr>
          <w:vertAlign w:val="superscript"/>
        </w:rPr>
        <w:footnoteReference w:id="1"/>
      </w:r>
      <w:r w:rsidRPr="00A03F2C">
        <w:t xml:space="preserve"> Tyto limity se týkají jednak úplaty za obhospodařování a jednak úplaty za zhodnocení a u jednotlivých druhů fondů se liší (</w:t>
      </w:r>
      <w:r w:rsidR="00AE45FE">
        <w:t>tabulka </w:t>
      </w:r>
      <w:r w:rsidR="00522E8A" w:rsidRPr="009D2306">
        <w:t>3</w:t>
      </w:r>
      <w:r w:rsidRPr="009D2306">
        <w:t>).</w:t>
      </w:r>
    </w:p>
    <w:p w14:paraId="1110B7AE" w14:textId="77777777" w:rsidR="00A03F2C" w:rsidRPr="00A03F2C" w:rsidRDefault="00A03F2C" w:rsidP="00A03F2C">
      <w:pPr>
        <w:spacing w:before="80" w:after="120"/>
        <w:jc w:val="both"/>
        <w:rPr>
          <w:rFonts w:eastAsia="Calibri"/>
          <w:b/>
          <w:bCs/>
          <w:color w:val="4F81BD"/>
          <w:sz w:val="20"/>
          <w:szCs w:val="18"/>
        </w:rPr>
      </w:pPr>
      <w:bookmarkStart w:id="163" w:name="_Toc230006799"/>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3</w:t>
      </w:r>
      <w:r w:rsidRPr="00A03F2C">
        <w:rPr>
          <w:rFonts w:eastAsia="Calibri"/>
          <w:b/>
          <w:bCs/>
          <w:color w:val="4F81BD"/>
          <w:sz w:val="20"/>
          <w:szCs w:val="18"/>
        </w:rPr>
        <w:fldChar w:fldCharType="end"/>
      </w:r>
      <w:r w:rsidRPr="00A03F2C">
        <w:rPr>
          <w:rFonts w:eastAsia="Calibri"/>
          <w:b/>
          <w:bCs/>
          <w:color w:val="4F81BD"/>
          <w:sz w:val="20"/>
          <w:szCs w:val="18"/>
        </w:rPr>
        <w:t xml:space="preserve">: </w:t>
      </w:r>
      <w:r w:rsidR="00403ED6">
        <w:rPr>
          <w:rFonts w:eastAsia="Calibri"/>
          <w:b/>
          <w:bCs/>
          <w:color w:val="4F81BD"/>
          <w:sz w:val="20"/>
          <w:szCs w:val="18"/>
        </w:rPr>
        <w:t>Zákonné l</w:t>
      </w:r>
      <w:r w:rsidRPr="00A03F2C">
        <w:rPr>
          <w:rFonts w:eastAsia="Calibri"/>
          <w:b/>
          <w:bCs/>
          <w:color w:val="4F81BD"/>
          <w:sz w:val="20"/>
          <w:szCs w:val="18"/>
        </w:rPr>
        <w:t>imity úplat u jednotlivých druhů fondů</w:t>
      </w:r>
      <w:bookmarkEnd w:id="163"/>
    </w:p>
    <w:tbl>
      <w:tblPr>
        <w:tblStyle w:val="Mkatabulky2"/>
        <w:tblW w:w="9077" w:type="dxa"/>
        <w:tblLayout w:type="fixed"/>
        <w:tblLook w:val="04A0" w:firstRow="1" w:lastRow="0" w:firstColumn="1" w:lastColumn="0" w:noHBand="0" w:noVBand="1"/>
      </w:tblPr>
      <w:tblGrid>
        <w:gridCol w:w="2355"/>
        <w:gridCol w:w="1531"/>
        <w:gridCol w:w="1644"/>
        <w:gridCol w:w="2130"/>
        <w:gridCol w:w="1417"/>
      </w:tblGrid>
      <w:tr w:rsidR="00A03F2C" w:rsidRPr="00A03F2C" w14:paraId="06B704C4" w14:textId="77777777" w:rsidTr="00A03F2C">
        <w:tc>
          <w:tcPr>
            <w:tcW w:w="2355" w:type="dxa"/>
            <w:shd w:val="clear" w:color="auto" w:fill="C6D9F1"/>
          </w:tcPr>
          <w:p w14:paraId="49633A91" w14:textId="77777777" w:rsidR="00A03F2C" w:rsidRPr="00A03F2C" w:rsidRDefault="00A03F2C" w:rsidP="00AE45FE">
            <w:pPr>
              <w:widowControl w:val="0"/>
              <w:suppressAutoHyphens w:val="0"/>
              <w:spacing w:before="40" w:after="40" w:line="240" w:lineRule="auto"/>
              <w:jc w:val="both"/>
              <w:rPr>
                <w:rFonts w:cs="Calibri"/>
                <w:b/>
                <w:sz w:val="19"/>
                <w:szCs w:val="19"/>
              </w:rPr>
            </w:pPr>
          </w:p>
        </w:tc>
        <w:tc>
          <w:tcPr>
            <w:tcW w:w="1531" w:type="dxa"/>
            <w:shd w:val="clear" w:color="auto" w:fill="C6D9F1"/>
            <w:vAlign w:val="center"/>
          </w:tcPr>
          <w:p w14:paraId="7ECABAE4" w14:textId="77777777" w:rsidR="00A03F2C" w:rsidRPr="00A03F2C" w:rsidRDefault="00A03F2C" w:rsidP="00AE45FE">
            <w:pPr>
              <w:widowControl w:val="0"/>
              <w:suppressAutoHyphens w:val="0"/>
              <w:spacing w:before="40" w:after="40" w:line="240" w:lineRule="auto"/>
              <w:jc w:val="center"/>
              <w:rPr>
                <w:rFonts w:cs="Calibri"/>
                <w:b/>
                <w:sz w:val="19"/>
                <w:szCs w:val="19"/>
              </w:rPr>
            </w:pPr>
            <w:r w:rsidRPr="00A03F2C">
              <w:rPr>
                <w:rFonts w:cs="Calibri"/>
                <w:b/>
                <w:sz w:val="19"/>
                <w:szCs w:val="19"/>
              </w:rPr>
              <w:t>Transformované fondy</w:t>
            </w:r>
          </w:p>
        </w:tc>
        <w:tc>
          <w:tcPr>
            <w:tcW w:w="1644" w:type="dxa"/>
            <w:shd w:val="clear" w:color="auto" w:fill="C6D9F1"/>
            <w:vAlign w:val="center"/>
          </w:tcPr>
          <w:p w14:paraId="4270C473" w14:textId="77777777" w:rsidR="00A03F2C" w:rsidRPr="00A03F2C" w:rsidRDefault="00A03F2C" w:rsidP="00AE45FE">
            <w:pPr>
              <w:widowControl w:val="0"/>
              <w:suppressAutoHyphens w:val="0"/>
              <w:spacing w:before="40" w:after="40" w:line="240" w:lineRule="auto"/>
              <w:jc w:val="center"/>
              <w:rPr>
                <w:rFonts w:cs="Calibri"/>
                <w:b/>
                <w:sz w:val="19"/>
                <w:szCs w:val="19"/>
              </w:rPr>
            </w:pPr>
            <w:r w:rsidRPr="00A03F2C">
              <w:rPr>
                <w:rFonts w:cs="Calibri"/>
                <w:b/>
                <w:sz w:val="19"/>
                <w:szCs w:val="19"/>
              </w:rPr>
              <w:t>Povinné konzervativní fondy</w:t>
            </w:r>
          </w:p>
        </w:tc>
        <w:tc>
          <w:tcPr>
            <w:tcW w:w="2130" w:type="dxa"/>
            <w:shd w:val="clear" w:color="auto" w:fill="C6D9F1"/>
            <w:vAlign w:val="center"/>
          </w:tcPr>
          <w:p w14:paraId="7B2D40EC" w14:textId="77777777" w:rsidR="00A03F2C" w:rsidRPr="00A03F2C" w:rsidRDefault="00A03F2C" w:rsidP="00AE45FE">
            <w:pPr>
              <w:widowControl w:val="0"/>
              <w:suppressAutoHyphens w:val="0"/>
              <w:spacing w:before="40" w:after="40" w:line="240" w:lineRule="auto"/>
              <w:jc w:val="center"/>
              <w:rPr>
                <w:rFonts w:cs="Calibri"/>
                <w:b/>
                <w:sz w:val="19"/>
                <w:szCs w:val="19"/>
              </w:rPr>
            </w:pPr>
            <w:r w:rsidRPr="00A03F2C">
              <w:rPr>
                <w:rFonts w:cs="Calibri"/>
                <w:b/>
                <w:sz w:val="19"/>
                <w:szCs w:val="19"/>
              </w:rPr>
              <w:t>Ostatní účastnické fondy (smíšené, dynamické)</w:t>
            </w:r>
          </w:p>
        </w:tc>
        <w:tc>
          <w:tcPr>
            <w:tcW w:w="1417" w:type="dxa"/>
            <w:shd w:val="clear" w:color="auto" w:fill="C6D9F1"/>
            <w:vAlign w:val="center"/>
          </w:tcPr>
          <w:p w14:paraId="12209313" w14:textId="77777777" w:rsidR="00A03F2C" w:rsidRPr="00A03F2C" w:rsidRDefault="00A03F2C" w:rsidP="00AE45FE">
            <w:pPr>
              <w:widowControl w:val="0"/>
              <w:suppressAutoHyphens w:val="0"/>
              <w:spacing w:before="40" w:after="40" w:line="240" w:lineRule="auto"/>
              <w:jc w:val="center"/>
              <w:rPr>
                <w:rFonts w:cs="Calibri"/>
                <w:b/>
                <w:sz w:val="19"/>
                <w:szCs w:val="19"/>
              </w:rPr>
            </w:pPr>
            <w:r w:rsidRPr="00A03F2C">
              <w:rPr>
                <w:rFonts w:cs="Calibri"/>
                <w:b/>
                <w:sz w:val="19"/>
                <w:szCs w:val="19"/>
              </w:rPr>
              <w:t>Alternativní účastnické fondy</w:t>
            </w:r>
          </w:p>
        </w:tc>
      </w:tr>
      <w:tr w:rsidR="00A03F2C" w:rsidRPr="00A03F2C" w14:paraId="41A2C0B4" w14:textId="77777777" w:rsidTr="00A03F2C">
        <w:tc>
          <w:tcPr>
            <w:tcW w:w="2355" w:type="dxa"/>
          </w:tcPr>
          <w:p w14:paraId="363E83E8" w14:textId="77777777" w:rsidR="00A03F2C" w:rsidRPr="00A03F2C" w:rsidRDefault="00A03F2C" w:rsidP="00AE45FE">
            <w:pPr>
              <w:widowControl w:val="0"/>
              <w:suppressAutoHyphens w:val="0"/>
              <w:spacing w:before="40" w:after="40" w:line="240" w:lineRule="auto"/>
              <w:rPr>
                <w:rFonts w:cs="Calibri"/>
                <w:sz w:val="19"/>
                <w:szCs w:val="19"/>
              </w:rPr>
            </w:pPr>
            <w:r w:rsidRPr="00A03F2C">
              <w:rPr>
                <w:rFonts w:cs="Calibri"/>
                <w:sz w:val="19"/>
                <w:szCs w:val="19"/>
              </w:rPr>
              <w:t xml:space="preserve">Úplata za obhospodařování </w:t>
            </w:r>
          </w:p>
        </w:tc>
        <w:tc>
          <w:tcPr>
            <w:tcW w:w="1531" w:type="dxa"/>
            <w:vAlign w:val="center"/>
          </w:tcPr>
          <w:p w14:paraId="175737AC"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0,8 %</w:t>
            </w:r>
          </w:p>
        </w:tc>
        <w:tc>
          <w:tcPr>
            <w:tcW w:w="1644" w:type="dxa"/>
            <w:vAlign w:val="center"/>
          </w:tcPr>
          <w:p w14:paraId="07FF738A"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0,4 %</w:t>
            </w:r>
          </w:p>
        </w:tc>
        <w:tc>
          <w:tcPr>
            <w:tcW w:w="2130" w:type="dxa"/>
            <w:vAlign w:val="center"/>
          </w:tcPr>
          <w:p w14:paraId="6E00357E"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1,0 %</w:t>
            </w:r>
          </w:p>
        </w:tc>
        <w:tc>
          <w:tcPr>
            <w:tcW w:w="1417" w:type="dxa"/>
            <w:vAlign w:val="center"/>
          </w:tcPr>
          <w:p w14:paraId="1911241A"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2,5 %</w:t>
            </w:r>
          </w:p>
        </w:tc>
      </w:tr>
      <w:tr w:rsidR="00A03F2C" w:rsidRPr="00A03F2C" w14:paraId="1537D412" w14:textId="77777777" w:rsidTr="00A03F2C">
        <w:tc>
          <w:tcPr>
            <w:tcW w:w="2355" w:type="dxa"/>
          </w:tcPr>
          <w:p w14:paraId="1BC78944" w14:textId="77777777" w:rsidR="00A03F2C" w:rsidRPr="00A03F2C" w:rsidRDefault="00A03F2C" w:rsidP="00AE45FE">
            <w:pPr>
              <w:widowControl w:val="0"/>
              <w:suppressAutoHyphens w:val="0"/>
              <w:spacing w:before="40" w:after="40" w:line="240" w:lineRule="auto"/>
              <w:rPr>
                <w:rFonts w:cs="Calibri"/>
                <w:sz w:val="19"/>
                <w:szCs w:val="19"/>
              </w:rPr>
            </w:pPr>
            <w:r w:rsidRPr="00A03F2C">
              <w:rPr>
                <w:rFonts w:cs="Calibri"/>
                <w:sz w:val="19"/>
                <w:szCs w:val="19"/>
              </w:rPr>
              <w:t>Úplata za zhodnocení</w:t>
            </w:r>
          </w:p>
        </w:tc>
        <w:tc>
          <w:tcPr>
            <w:tcW w:w="1531" w:type="dxa"/>
            <w:vAlign w:val="center"/>
          </w:tcPr>
          <w:p w14:paraId="50E9C14E"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10 %</w:t>
            </w:r>
          </w:p>
        </w:tc>
        <w:tc>
          <w:tcPr>
            <w:tcW w:w="1644" w:type="dxa"/>
            <w:vAlign w:val="center"/>
          </w:tcPr>
          <w:p w14:paraId="32A9B1BE"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10 %</w:t>
            </w:r>
          </w:p>
        </w:tc>
        <w:tc>
          <w:tcPr>
            <w:tcW w:w="2130" w:type="dxa"/>
            <w:vAlign w:val="center"/>
          </w:tcPr>
          <w:p w14:paraId="331488C9"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15 %</w:t>
            </w:r>
          </w:p>
        </w:tc>
        <w:tc>
          <w:tcPr>
            <w:tcW w:w="1417" w:type="dxa"/>
            <w:vAlign w:val="center"/>
          </w:tcPr>
          <w:p w14:paraId="35D05ACA" w14:textId="77777777" w:rsidR="00A03F2C" w:rsidRPr="00A03F2C" w:rsidRDefault="00A03F2C" w:rsidP="00AE45FE">
            <w:pPr>
              <w:widowControl w:val="0"/>
              <w:suppressAutoHyphens w:val="0"/>
              <w:spacing w:before="40" w:after="40" w:line="240" w:lineRule="auto"/>
              <w:jc w:val="center"/>
              <w:rPr>
                <w:rFonts w:cs="Calibri"/>
                <w:sz w:val="19"/>
                <w:szCs w:val="19"/>
              </w:rPr>
            </w:pPr>
            <w:r w:rsidRPr="00A03F2C">
              <w:rPr>
                <w:rFonts w:cs="Calibri"/>
                <w:sz w:val="19"/>
                <w:szCs w:val="19"/>
              </w:rPr>
              <w:t>25 %</w:t>
            </w:r>
          </w:p>
        </w:tc>
      </w:tr>
    </w:tbl>
    <w:p w14:paraId="19CF8478" w14:textId="77777777" w:rsidR="00A03F2C" w:rsidRPr="00A03F2C" w:rsidRDefault="00A03F2C" w:rsidP="00A03F2C">
      <w:pPr>
        <w:suppressAutoHyphens w:val="0"/>
        <w:spacing w:before="120" w:after="120"/>
        <w:jc w:val="both"/>
      </w:pPr>
      <w:r w:rsidRPr="00A03F2C">
        <w:t>Současná výše maximálních limitů byla zavedena zákonem č. 377/2015 Sb., kterým se mění některé zákony v souvislosti s přijetím zákona o ukončení důchodového spoření, a zohledňovala krátkou existenci a malou naplněnost účastnických fondů. Od konce roku 2015 se objem prostředků účastníků v účastnických fondech zvýšil z 10,1 mld. Kč na 311,2 mld. Kč na konci roku 2025. Rovněž vzrostl podíl ostatních účastnických fondů na celkovém objemu prostředků, a to ze 49,5 % na 81,3 %, přičemž tyto fondy umožňují penzijním společnostem uplatnit vyšší limity úplat než v případě povinného konzervativního fondu, v němž bylo na konci roku 2015 spravována více než polovina všech prostředků v systému doplňkového penzijního spoření (DPS). Od konce roku 2015 se zvýšil i c</w:t>
      </w:r>
      <w:r w:rsidR="00AE45FE">
        <w:t>elkový objem prostředků v doplňkovém penzijním systému</w:t>
      </w:r>
      <w:r w:rsidRPr="00A03F2C">
        <w:t xml:space="preserve"> o téměř 89 % na 660,2 mld. Kč.</w:t>
      </w:r>
    </w:p>
    <w:p w14:paraId="49199F79" w14:textId="77777777" w:rsidR="00A03F2C" w:rsidRPr="00A03F2C" w:rsidRDefault="00A03F2C" w:rsidP="00A03F2C">
      <w:pPr>
        <w:suppressAutoHyphens w:val="0"/>
        <w:spacing w:after="120"/>
        <w:jc w:val="both"/>
      </w:pPr>
      <w:r w:rsidRPr="00A03F2C">
        <w:t>V souladu se zvyšujícím se objemem prostředků v systému DPS a klesajícím objemem prostředků v systému penzijního připojištění (PP) se měnily i objemy úplat vyplacených penzijním společnostem (</w:t>
      </w:r>
      <w:r w:rsidRPr="009D2306">
        <w:t>graf 1) s</w:t>
      </w:r>
      <w:r w:rsidRPr="00A03F2C">
        <w:t> narůstajícím významem úplaty za obhospodařování v účastnických fondech.</w:t>
      </w:r>
    </w:p>
    <w:p w14:paraId="7707C16A" w14:textId="77777777" w:rsidR="00A03F2C" w:rsidRPr="00A03F2C" w:rsidRDefault="00A03F2C" w:rsidP="00A03F2C">
      <w:pPr>
        <w:spacing w:before="80" w:after="120"/>
        <w:jc w:val="both"/>
        <w:rPr>
          <w:rFonts w:eastAsia="Calibri"/>
          <w:b/>
          <w:bCs/>
          <w:color w:val="4F81BD"/>
          <w:sz w:val="20"/>
          <w:szCs w:val="18"/>
        </w:rPr>
      </w:pPr>
      <w:bookmarkStart w:id="164" w:name="_Toc229664378"/>
      <w:r w:rsidRPr="00A03F2C">
        <w:rPr>
          <w:rFonts w:eastAsia="Calibri"/>
          <w:b/>
          <w:bCs/>
          <w:color w:val="4F81BD"/>
          <w:sz w:val="20"/>
          <w:szCs w:val="18"/>
        </w:rPr>
        <w:t xml:space="preserve">Graf </w:t>
      </w:r>
      <w:r w:rsidRPr="00A03F2C">
        <w:rPr>
          <w:rFonts w:eastAsia="Calibri"/>
          <w:b/>
          <w:bCs/>
          <w:color w:val="4F81BD"/>
          <w:sz w:val="20"/>
          <w:szCs w:val="18"/>
        </w:rPr>
        <w:fldChar w:fldCharType="begin"/>
      </w:r>
      <w:r w:rsidRPr="00A03F2C">
        <w:rPr>
          <w:rFonts w:eastAsia="Calibri"/>
          <w:b/>
          <w:bCs/>
          <w:color w:val="4F81BD"/>
          <w:sz w:val="20"/>
          <w:szCs w:val="18"/>
        </w:rPr>
        <w:instrText xml:space="preserve"> SEQ Graf \* ARABIC </w:instrText>
      </w:r>
      <w:r w:rsidRPr="00A03F2C">
        <w:rPr>
          <w:rFonts w:eastAsia="Calibri"/>
          <w:b/>
          <w:bCs/>
          <w:color w:val="4F81BD"/>
          <w:sz w:val="20"/>
          <w:szCs w:val="18"/>
        </w:rPr>
        <w:fldChar w:fldCharType="separate"/>
      </w:r>
      <w:r w:rsidRPr="00A03F2C">
        <w:rPr>
          <w:rFonts w:eastAsia="Calibri"/>
          <w:b/>
          <w:bCs/>
          <w:noProof/>
          <w:color w:val="4F81BD"/>
          <w:sz w:val="20"/>
          <w:szCs w:val="18"/>
        </w:rPr>
        <w:t>1</w:t>
      </w:r>
      <w:r w:rsidRPr="00A03F2C">
        <w:rPr>
          <w:rFonts w:eastAsia="Calibri"/>
          <w:b/>
          <w:bCs/>
          <w:color w:val="4F81BD"/>
          <w:sz w:val="20"/>
          <w:szCs w:val="18"/>
        </w:rPr>
        <w:fldChar w:fldCharType="end"/>
      </w:r>
      <w:r w:rsidRPr="00A03F2C">
        <w:rPr>
          <w:rFonts w:eastAsia="Calibri"/>
          <w:b/>
          <w:bCs/>
          <w:color w:val="4F81BD"/>
          <w:sz w:val="20"/>
          <w:szCs w:val="18"/>
        </w:rPr>
        <w:t>: Úplaty vyplacené penzijním společnostem transformovanými a účastnickými fondy</w:t>
      </w:r>
      <w:bookmarkEnd w:id="164"/>
    </w:p>
    <w:p w14:paraId="7F940540" w14:textId="77777777" w:rsidR="00A03F2C" w:rsidRPr="00A03F2C" w:rsidRDefault="00A03F2C" w:rsidP="00A03F2C">
      <w:pPr>
        <w:suppressAutoHyphens w:val="0"/>
        <w:spacing w:before="120" w:after="120" w:line="259" w:lineRule="auto"/>
        <w:jc w:val="both"/>
      </w:pPr>
      <w:r w:rsidRPr="00A03F2C">
        <w:rPr>
          <w:rFonts w:eastAsia="Calibri"/>
          <w:noProof/>
          <w:lang w:eastAsia="cs-CZ"/>
        </w:rPr>
        <mc:AlternateContent>
          <mc:Choice Requires="wpg">
            <w:drawing>
              <wp:anchor distT="0" distB="0" distL="114300" distR="114300" simplePos="0" relativeHeight="251659264" behindDoc="1" locked="0" layoutInCell="1" allowOverlap="1" wp14:anchorId="69BD1AE0" wp14:editId="16BCEB01">
                <wp:simplePos x="0" y="0"/>
                <wp:positionH relativeFrom="column">
                  <wp:posOffset>-4445</wp:posOffset>
                </wp:positionH>
                <wp:positionV relativeFrom="paragraph">
                  <wp:posOffset>4445</wp:posOffset>
                </wp:positionV>
                <wp:extent cx="5760000" cy="2232000"/>
                <wp:effectExtent l="0" t="0" r="0" b="0"/>
                <wp:wrapNone/>
                <wp:docPr id="6" name="Skupina 5"/>
                <wp:cNvGraphicFramePr/>
                <a:graphic xmlns:a="http://schemas.openxmlformats.org/drawingml/2006/main">
                  <a:graphicData uri="http://schemas.microsoft.com/office/word/2010/wordprocessingGroup">
                    <wpg:wgp>
                      <wpg:cNvGrpSpPr/>
                      <wpg:grpSpPr>
                        <a:xfrm>
                          <a:off x="0" y="0"/>
                          <a:ext cx="5760000" cy="2232000"/>
                          <a:chOff x="0" y="0"/>
                          <a:chExt cx="6198900" cy="2752726"/>
                        </a:xfrm>
                      </wpg:grpSpPr>
                      <wpg:graphicFrame>
                        <wpg:cNvPr id="2" name="Graf 2"/>
                        <wpg:cNvFrPr/>
                        <wpg:xfrm>
                          <a:off x="0" y="0"/>
                          <a:ext cx="3239248" cy="2743200"/>
                        </wpg:xfrm>
                        <a:graphic>
                          <a:graphicData uri="http://schemas.openxmlformats.org/drawingml/2006/chart">
                            <c:chart xmlns:c="http://schemas.openxmlformats.org/drawingml/2006/chart" xmlns:r="http://schemas.openxmlformats.org/officeDocument/2006/relationships" r:id="rId9"/>
                          </a:graphicData>
                        </a:graphic>
                      </wpg:graphicFrame>
                      <wpg:graphicFrame>
                        <wpg:cNvPr id="3" name="Graf 3"/>
                        <wpg:cNvFrPr>
                          <a:graphicFrameLocks/>
                        </wpg:cNvFrPr>
                        <wpg:xfrm>
                          <a:off x="3116239" y="9526"/>
                          <a:ext cx="3082661" cy="2743200"/>
                        </wpg:xfrm>
                        <a:graphic>
                          <a:graphicData uri="http://schemas.openxmlformats.org/drawingml/2006/chart">
                            <c:chart xmlns:c="http://schemas.openxmlformats.org/drawingml/2006/chart" xmlns:r="http://schemas.openxmlformats.org/officeDocument/2006/relationships" r:id="rId10"/>
                          </a:graphicData>
                        </a:graphic>
                      </wpg:graphicFrame>
                    </wpg:wgp>
                  </a:graphicData>
                </a:graphic>
                <wp14:sizeRelV relativeFrom="margin">
                  <wp14:pctHeight>0</wp14:pctHeight>
                </wp14:sizeRelV>
              </wp:anchor>
            </w:drawing>
          </mc:Choice>
          <mc:Fallback>
            <w:pict>
              <v:group w14:anchorId="2A5C98F1" id="Skupina 5" o:spid="_x0000_s1026" style="position:absolute;margin-left:-.35pt;margin-top:.35pt;width:453.55pt;height:175.75pt;z-index:-251657216;mso-height-relative:margin" coordsize="61989,27527" o:gfxdata="UEsDBBQABgAIAAAAIQAsq8J0ZAEAAHsFAAATAAAAW0NvbnRlbnRfVHlwZXNdLnhtbMSU0UrDMBSG&#10;7wXfoeRWmmy7EJF1u7DzUkXmA4TkdC2mScnJuu3tPW03xsRJ2ARvGtrkP9+f8yedzre1SVrwWDmb&#10;sTEfsQSscrqyq4x9LJ/TB5ZgkFZL4yxkbAfI5rPbm+ly1wAmpLaYsTKE5lEIVCXUErlrwNJM4Xwt&#10;A736lWik+pQrEJPR6F4oZwPYkIauBptNcyjk2oRksaXPgxMPBlnyNCzsWBmTTWMqJQM5Fa3V3yjp&#10;nsBJ2a/Bsmrwjmww8SOhmzkP2OteqTW+0pC8SR9eZE02hPYoYOJyp/jvNTqTNaauKCoFPPe46FUH&#10;T+dqq5JYKPphHIE47fYep51a19Rjrr3cUJi14X3BSDiGnYEY+HF/g+1OF8lQzjiPF0AGYQwp0HkE&#10;0T8P3Y7h/d7Rk3Kxe+0ynfxnmDHwq8O8AHJVmDG8PwxTu4310EbEeOwkXfucZO/QHo6K6H+dsy8A&#10;AAD//wMAUEsDBBQABgAIAAAAIQA4/SH/1gAAAJQBAAALAAAAX3JlbHMvLnJlbHOkkMFqwzAMhu+D&#10;vYPRfXGawxijTi+j0GvpHsDYimMaW0Yy2fr2M4PBMnrbUb/Q94l/f/hMi1qRJVI2sOt6UJgd+ZiD&#10;gffL8ekFlFSbvV0oo4EbChzGx4f9GRdb25HMsYhqlCwG5lrLq9biZkxWOiqY22YiTra2kYMu1l1t&#10;QD30/bPm3wwYN0x18gb45AdQl1tp5j/sFB2T0FQ7R0nTNEV3j6o9feQzro1iOWA14Fm+Q8a1a8+B&#10;vu/d/dMb2JY5uiPbhG/ktn4cqGU/er3pcvwCAAD//wMAUEsDBBQABgAIAAAAIQAS+G0THgIAAFwG&#10;AAAOAAAAZHJzL2Uyb0RvYy54bWzsVcuO2jAU3VfqP1jed/IaAkSE2VBQpaodadoPcB3noUli69pM&#10;mL/vtWMyFJBKZ10WBtvx8T2PG1YPh64lLwJ0I/ucRnchJaLnsmj6Kqc/f2w/LSjRhvUFa2Uvcvoq&#10;NH1Yf/ywGlQmYlnLthBAEKTX2aByWhujsiDQvBYd03dSiR43SwkdMziFKiiADYjetUEchmkwSCgU&#10;SC60xtXNuEnXDr8sBTffy1ILQ9qcYm3GjeDGX3YM1iuWVcBU3XBfBntHFR1rerx0gtoww8gemguo&#10;ruEgtSzNHZddIMuy4cJxQDZReMZmB3KvHJcqGyo1yYTSnun0blj+7eURSFPkNKWkZx1a9PS8V03P&#10;yMyKM6gqw2d2oJ7UI/iFapxZvocSOvuNTMjByfo6ySoOhnBcnM3TED+UcNyL4wR988LzGt25OMfr&#10;z/5kGi0Xy+nkfBbP49RWFRwvDmx9UznjxHm5BeQyle8pxkeKO2AliU/4bWEidwujJE6W8T1G2zGa&#10;31tKri5bwRHAp+qWVPw95rxmYDAKPHO/fBT4RRBuRfIA2AlnSboCMKZ0I/m+E70Z2w5Eywz2vK4b&#10;pSmBzEYIvhSRt8eTt33g7JrE8I6dm+T3r9qW/GFbcmbbib7u9FfJn7XNiI+utXYMwtEYn9UkilL0&#10;kRJM5XI2Botlx9Am4SJO0+i/xRcWu77BDvwXi50Z+Ao7zcLVbLz9Kax/AwAA//8DAFBLAwQUAAYA&#10;CAAAACEAdKhqQAMGAAA1GQAAHAAAAGRycy90aGVtZS90aGVtZU92ZXJyaWRlMi54bWzsWc9rG0cU&#10;vhf6Pyx7byTZ+hGbyMGWrLi1nYRISclxrB3tTj07s8yM7OhWklMvhUJaWmigPfVQSgMNNPTSQ+lf&#10;YnBo0z+ib2ZXqxlpZMfGhVBig5Fmv/fmm/fefG9mfePmo5QGR1hIwlk7rF2rhgFmQx4RFrfD+4Pe&#10;B9fDQCrEIkQ5w+1wgmV4c+P9926gdZXgFN8BW0EiHIAfJtdRO0yUytYrFTmEx0he4xlm8GzERYoU&#10;fBVxJRLoGPyntLJSrTYrKSIs3ACHQyr62goHDKUw1y5iQ0z/+P7Pb8zj6LCmUXIiO1QER4i2Q3AT&#10;8eMBfqTCgCKp4EE7rJqfsLJxo4LWCyOqlthadj3zU9gVBtHhiplTxAflpPV6o97cLP0bAFWLuO3W&#10;dnO7WfozADQcYlZwsX02tta2uo0Ca4Hyjx7f3VZ3tebgLf+rC5w3G/rXwRtQ7r++gO/1OhBFB29A&#10;Ob6xgK/XWyuduoM3oBzfXMC3qpvdesvBG1BCCTtcQFcbzdXOdLUlZMTpjhe+1qj3WiuF8xkKqqGs&#10;MD3FiDN1Vr2l6BMuegDSYIoUYYGaZHiEhlCbHUTJgSDBHokTKL4MMS5huLpS7VVX4a/+rZtPJipo&#10;HSPLWnMDNnJhSHMK5FCQTLXDj8BraEFOX748efzi5PGvJ0+enDz+uZjbuHLsdhCLbbvXP3zxz7NP&#10;g79/+e710y/zqefx0sa/+umzV7/9fpZ7WPEsFKdfPX/14vnp15//9eNTj/dNgQ5s+ICkWAa38XFw&#10;j6ewQA9/fCAuZjFIELEtNlksEUN6Fo//bZU46NsTRJEHt4XdOD4QIDc+4K3xJw7hfiLGing87iap&#10;A9znnG5x4Y3Crp7LCvNgzGL/5GJs4+4hdOSbu4OYk+XtcQZaS3wuOwl2aN6liCkUY4ZVoJ/xQ4w9&#10;q3tIiBPXfTIUXPKRCh6SYAsRb0gG5MCpppnRDkkhLxMfQci3E5v9B8EWp75Vd/GRi4S9gaiH/ABT&#10;J4y30Fih1OdygFJqB3wPqcRHsj8RQxu3LRVkOsaUB9sRltJnc0fAeq2k74LM+NO+TyepixSKHPp8&#10;7iHObWSXH3YSlGY+bJ+wxMZ+KA+hRFFwlysffJ+7O0R/hzwgtjTdDwh20n2+GtwHhbUpzQpEPxkL&#10;Ty5vYe7Ub39CRwgbqYEm4Oh6Sti5Ij8n743/Tt5BRE+/feZZ0dVIut+xk48LivmmIN7dtDMn4ctw&#10;88Ld4SIib79ud9GY3cWwVRab1zvZfifbcHP5n8v2sv189WI902eQbn1szY/s5gCfnnl+HxFK+2pC&#10;8Z40R3gJnSnqwaC2NddTXN7psgQ+6t0Mkzi4WCBjEwiuPiYq6Scog3N+LdROYlm4jmWQcQnHfzPs&#10;9a3xdJzu8yi/utZq+pqaC4hEajZebZTjcOVQObrZml3HSveGbSxzJjkBbXsREtZkLolVD4nWdFAH&#10;yVzUIWgeEmZlV8JizcPiunY/TdUCC6BWZgX2YAAHrnbYqIMJGMHNClEc6TzlqZ5m14TwKjO9LJhO&#10;BcA5YloBs0yvaa5Ll6dX98aZdkhY5eaSMJExfUwmCF7kmBcrRQqLDbEQ5RmNi+Z6bZZSh54OxXQ3&#10;zGi0rp8VjMvmGuzmtYEyWykoC47bYXO1ASUzRFk7HMH1Hz6mGdSO1EdeRGN4XTZUIt/wl1GWTEjV&#10;RTLJA25EJ1eDlCgsAkrSdqiXX1YDZUZDDLfaCgjCW0tuDWTlbSMHSXeTjEcjPFR22q0RHen8Kyh8&#10;vgu8T4355cHako8h3f0kOg4O6FjcQ1BijVZNBzAiEt4C1fJoRgRebZZCNqu/ucZUyK79btHUUD6O&#10;aJagoqPYYp7DjZSXdMy3MgbWt2LNEFArJEUjPIh1g7WD6nTTsmvkHJZ23fONdOQs0Zz1TEdVdNf0&#10;i6kzw7QNzMXyck3eYjUNMbRLu8PnTXpectemWjd3Tii7BAS8jJ+n675B67eozSZzqGnGizKsNbsY&#10;dXvHdIHnUHuTJmE1n+bU7Vzcyh7hnQ4GL9X5wW6+amFoND1bmkg7/+rY+BcAAP//AwBQSwMEFAAG&#10;AAgAAAAhAHC5+E3eAAAABgEAAA8AAABkcnMvZG93bnJldi54bWxMjkFrwkAUhO+F/oflFXrTTWK1&#10;Ns1GRNqeRKgWpLdn9pkEs7shuybx3/f11F4Ghhlmvmw1mkb01PnaWQXxNAJBtnC6tqWCr8P7ZAnC&#10;B7QaG2dJwY08rPL7uwxT7Qb7Sf0+lIJHrE9RQRVCm0rpi4oM+qlryXJ2dp3BwLYrpe5w4HHTyCSK&#10;FtJgbfmhwpY2FRWX/dUo+BhwWM/it357OW9u34f57riNSanHh3H9CiLQGP7K8IvP6JAz08ldrfai&#10;UTB55qICVg5fosUTiJOC2TxJQOaZ/I+f/wAAAP//AwBQSwMEFAAGAAgAAAAhAHrfdLPCAAAApwEA&#10;ABkAAABkcnMvX3JlbHMvZTJvRG9jLnhtbC5yZWxzvJDLCsJADEX3gv8wZG+n7UJEnHYjQreiHxCm&#10;6QM7Dyaj6N87KIKC4M7lTci5h2zqq5nEhQKPziooshwEWe3a0fYKjofdYgWCI9oWJ2dJwY0Y6mo+&#10;2+xpwpiOeBg9i0SxrGCI0a+lZD2QQc6cJ5s2nQsGY4qhlx71CXuSZZ4vZXhnQPXBFE2rIDRtCeJw&#10;86n5N9t13ahp6/TZkI1fKqQeMMQExNBTVPCI/JyWWTIF+V2i+JNE8ZKQH++t7gAAAP//AwBQSwME&#10;FAAGAAgAAAAhAAvVyrxmAQAAFAMAACAAAABkcnMvY2hhcnRzL19yZWxzL2NoYXJ0Mi54bWwucmVs&#10;c6xSS27CMBTcV+odIktdNk4CQhUioAqKlEVFxWeDsjHOC0nr2JFtquQo7R16CtR79QFChYrPphs/&#10;28+emaeZTq8qhPMO2uRKhsR3PeKA5CrJ5TIks+nw/oE4xjKZMKEkhKQGQ3rd25vOGASz+MlkeWkc&#10;RJEmJJm1ZZtSwzMomHFVCRI7qdIFs3jUS1oy/saWQAPPa1F9iEG6R5hOlIRER0mDONO6RObr2CpN&#10;cw4DxVcFSHuCglrUBSMcV+cJIDDTS7Ahcd1d57gfuKid0NOygjOyipxrZVRqXa4KulOESnz/eFjK&#10;M6ZtXwmlJ7YWB1r45s5c5Pb/g/sPrdmouMjaPMN6wuTrRigBo8UrcPtrQpoLwOzQfjueGQxk7Ddb&#10;DS/e22niyeBlGAde0Irn87vAG0ePuEZR5GIpc7H++v7AXbJagMS6fbj+LDGltVsJU+2ZnlWCaXqq&#10;LGjJtv7Soyx3fwAAAP//AwBQSwMEFAAGAAgAAAAhAHBnsT1mAQAAFAMAACAAAABkcnMvY2hhcnRz&#10;L19yZWxzL2NoYXJ0MS54bWwucmVsc6xSS27CMBTcV+odIktdNk4CQhUioAqKlEVFxWeDsjHOC0nr&#10;2JFtquQo7R16CtR79QFChYrPphs/28+emaeZTq8qhPMO2uRKhsR3PeKA5CrJ5TIks+nw/oE4xjKZ&#10;MKEkhKQGQ3rd25vOGASz+MlkeWkcRJEmJJm1ZZtSwzMomHFVCRI7qdIFs3jUS1oy/saWQAPPa1F9&#10;iEG6R5hOlIRER0mDONO6RObr2CpNcw4DxVcFSHuCglrUBSMcV+cJIDDTS7Ahcd1d57jvu6id0NOy&#10;gjOyipxrZVRqXa4KulOESnz/eFjKM6ZtXwmlJ7YWB1r45s5c5Pb/g/sPrdmouMjaPMN6wuTrRigB&#10;o8UrcPtrQpoLwOzQfjueGQxk7DdbDS/e22niyeBlGAde0Irn87vAG0ePuEZR5GIpc7H++v7AXbJa&#10;gMS6fbj+LDGltVsJU+2ZnlWCaXqqLGjJtv7Soyx3fwAAAP//AwBQSwMEFAAGAAgAAAAhABwUp6gC&#10;AQAAbgMAABYAAABkcnMvY2hhcnRzL2NvbG9yczIueG1snJNBboMwEEWvgnwADCShFQrZZF110ROM&#10;BjtYsj2R7abN7WtIoYWqSODdzNd/f2YkH9FXSJrcW7hrkXwabWPD16wN4Vpx7rEVBnxqFDryJEOK&#10;ZDhJqVDwxsGHshdeZHnBsQUXegr7xsAfCl2FjRGSnIHgU3KXgWF0pGQlN6AsS4wIbc3wjlqwRDU1&#10;yzN2OkLVTyPO2iU30DUDRGFDzvi/WrGg7Ra0/YJ2WNDKTosnvYFTEBTZWdkNqt/NCzWPDcosvs7D&#10;f5umiLnnefD0qFcpH6h4vu2oFfHjyNP4/Yb4wwbP0+CZxu+G9opNRtQKzzjyNH5sz1Bd+fO9Tl8A&#10;AAD//wMAUEsDBBQABgAIAAAAIQC1GQnwWAkAAHsjAAAVAAAAZHJzL2NoYXJ0cy9jaGFydDIueG1s&#10;7FrNctvIEb6nKu/AwL4lFPH/wzK1JVHSrmultcvybqr2NgSGJKIhBh4MJVFb+wh5gOSWYw55Cifv&#10;le75AUhK8MpybSpOrIM06Gk0Zvp/vtGLr25XbHBNRVPyauJ4B64zoFXOi7JaTJzv354NU2fQSFIV&#10;hPGKTpwNbZyvDn/7mxf5OF8SIS9rktMBCKmacT5xllLW49GoyZd0RZoDXtMK5uZcrIiER7EYFYLc&#10;gPAVG/muG4+UEMcIIE8QsCJlZd8Xj3mfz+dlTk94vl7RSupVCMqIBA00y7JurLTci4V/T+KqzAVv&#10;+Fwe5Hw10sLspkCYF43aXR2CkgoiqZe54eCasInjOiMkMlItNCFvhtMfNVHwdVXQYspFBebY4l/l&#10;4yMmqahA1JRXElZt9LV6lMZXRFyt6yEst4ZNzkpWyo3atnP4AmRPlxz0MXhD361LQZuJk3thp4Lw&#10;YxXgJqN05Bu7wma9cNzIDaN6Q57r425H7XfVEs4IYzOSX6Futphb1m4eX9xXBr6VM3FB6lfXYjBb&#10;eBOHSc8ZyFsYFVcwmi3Ajkz6SINRcQUjkuegSOAwA0uBeU1peQJLCSwPKEXzgKL0ILKUyFJiS4md&#10;wZKV1RUoEv84gzln32iCHWkHUKGAm5GlZFQNbvG3KPPl4QsynvFi81oMBJfoSIOmzs9K0chz0sjX&#10;REDswE4hkuUr+DVn/GbiUMbAn0vwaKTDAri4cwY3gtQTp3m3JoLCaqscyGB1KezDVMKzh4siY9bI&#10;SzSfeqiRUr8W+Keg8zewmuYOWD0X1jNTqyrV7/XEqSBdYOoQ5RWkjYpfqpEzuAJHhlcg+NUWFPuM&#10;NBQ0Anwu+CQZN5yVxVnJmHrAXEKnTGgPAqsqHrZeXfBC0+LIBXF6vevVq/lckwNLHoFIKwWcb+8D&#10;GPrVQG5qOodcNnF+v6qGTGpxlOxNUKIn8mZvIm9wAmRrxaihUZXSlwBlYdyDplXMb2tua/tqE/Lw&#10;/V//+Wewa1XmV+//Dh5TFRuULZVYJY9WBVodbfCwWL0aMNnIuhAMpPIoRjZ8LYEhH3PwDHjUCjPp&#10;qTHrrjjaQK2IVWiKlgBL0RQ6n9NcnjcoDMTrN/Ez2km+uCxm/c/QZXu8a9untI3Rp2y6ImvJ3+LD&#10;CWVUUhOcxqlqxuWRoASdTvsfjlakWhN2rvyxm3lLxIJK7ZNlBeUQQysf30LAmzpCiwXVxM1DxFv9&#10;bniQJonn+V4QeUkcR55/OlRFJR9bjz/ACS8N0ihI/TT1sliLvTERcZC5fhglSZT4WRzGcRbo+aWd&#10;j0FAEgdh5iWuG8IPzoNWdncGhG7TMyKm2DvhnmB8UprUlnOmhS+gF6ihSdLfgPYrv6KFnromYjPl&#10;jO90CBB4FJJCPi4Ls3OjdC4KaoQbik4AkJbf0Dm+MT+8XFIqvd89P3ruRbhwRQaGKYGUiSy1nEJr&#10;YsyhygLSBvAtna/z8TXkqxrSKBnckQGfLXlT84L86y/8+v3fqvf/QKnXSik1JjCs8Va6flBrgaFZ&#10;nEk/H6oCtmhrh9zh/MhUVVZYG1/Ov6MLqAPXxr+MtnKijFStV/fUdfzcc8fPv4XfrdKArVWabnmn&#10;4LCHX1PwYMIUm2qEFfWeYm2c7GkWWsp4V4Gd9rESomqBJ+nj8TuetI8n6HiyPp6w5fHVjjuDduuJ&#10;Oh6vT07c8fh9PEnHE/TxpB1P2MeTdTzKtbs1g7N11tIP1gmNzaFfR+X2mD5Spu/ipRMGAdQZ+dkf&#10;nj3T/tHRHmv4LEiyXg1Zy3txGri9/tHaPobc1qsla/0gjVN3T0+dba39Iy8K017rWg9IIGtmvb5k&#10;fSCN/dTvtbD1As+Dbwa9bNYRPBAWpL2+2fqCH7mxv6fYD7iD8QN6i10OegSMBmsBfe5P0wC+N52G&#10;w+gkPh2GbjYdHp8G/vA08U/8LAmiYDr9uTtKwYlg73j8S2fJcOsYFY/XVfluTV+asvoTtLzqZ3gc&#10;HR/B1z13mLmBO4yOff8sS+P4JDj+2RQjWLNKvHYXsF9TMfYLh8nvW4XDUD5YOJQHfmrhuFvyouJw&#10;KvsVK4Y+Uu4fAD6uuf1SMSaOzRlQeXqj3GYM3/1SMZ57saoYXaD8ChUjTJPeLGkLRpQEQW8lsPXC&#10;i7L+psOaPkujfiZre89P4n4PaauF72d+b02x1cKDGtbb5thiEUInH/W6pK0VfhynYbpXBLpa19aK&#10;MPC9aK+8fsa1wvu0WlGcz1iDJbBZ8ptzuoBD4rfUHqT08QRnfiCAKG+hnUibEvkdWe0210i/pOJB&#10;+msqEJ67J+d4PZsxelnebYsCi7RLW5D6j2UhzfHMi+xBSMEctZaHcJU6UJJbW02jxAsyN9Knt3y8&#10;O5EmUaYLhzqvtWc36BSPFJ6yy74lp8kJ4FoL1BkXJWxIocx6FauyuiC3pkBvMRbq8Lyzc3L7mhtE&#10;eKZXDtnjbCUBGEJgHc8TE8ccMwBV42tQ3jlgjbQwOB4eR//ExVuAky4ADdbCFUKn9ABL6Z+U8BIY&#10;vl1BBU3EW27M/RBSNADkMYt8QEJzBBrncDCE4aqGxTTVAkBGtgAEMAe88SlYH5j0IawvtWRE9/qx&#10;PgWy60PjRwNYw9h0XAq4/C/BXjPEUZ8Avf6PQ66Pxq/g6gCuc5ojg5tgHmjD3cxRE3oIb/1IhXF9&#10;fDLpRMcCm7Ej8GxNQ+9WoQVUwKMbi2a1qafiF2smy/NrBrG1FeyQy9q0Akn0ofyytb6ttPGk/GJ6&#10;+638YhAolS6+FmWBsLzO+SbUWfX5xzco+f4GH0ip6vj+H02o95xxq5iouYedUU0dU3lDqXHAmX5A&#10;J4Tdtp70qdA+yNoBclUTgOWNqVFbJEyZ0tTTSooNMu3Dk9ulTrkiiN97pUNNdwHVJ6DByUEa4J0z&#10;YBNZAkBtnJwODZprmxhAe6MgApA38rMwSt1Mobn5uEWDQwB5fS/LQi8IUzjiJzrKTbuRHrhBlIRu&#10;kKWhHyRuCF+wjcPu8nGjLej9f3oH86V0PXhb+OjS1QYLhhZG5Q9l86pixpdNai/Kpj6GC8Kr5siU&#10;MeiQtdNi/30C1afBC2NoRfeqkL2hsCljB2RvWyz9Ely6q0xzD1j5uFrR3i+S8dMaNch2v3hlrbs/&#10;U80erWyF++H/YLATvOcQkMsmjnhZ6IMuNgPf1/i/HrtKhFa5fUclYnXHr/5n5vDfAAAA//8DAFBL&#10;AwQUAAYACAAAACEAYFuY/BgKAABtKwAAFQAAAGRycy9jaGFydHMvY2hhcnQxLnhtbOxaW2/byBV+&#10;L9D/oGXy1pXE+0WIvLBlexvE2QSxswX2bUSOJNYjUiFHvmSxP6E/oH3rYx/6K9L+r35zIyXZdGIb&#10;W2ywdgJ7eObM4cyZcz988d3VkvUuaFXnZTG2nIFt9WiRlllezMfW+7Pjfmz1ak6KjLCyoGPrmtbW&#10;d3t//MOLdJQuSMVPVySlPRAp6lE6thacr0bDYZ0u6JLUg3JFC8zNympJOB6r+TCryCWIL9nQte1w&#10;KIlYmgB5AIElyQuzvvqS9eVslqf0sEzXS1pwtYuKMsLBgXqRr2pDLXXCyr1BcZmnVVmXMz5Iy+VQ&#10;ETOHAjEnGDan2gOTMsKpk9h+74KwsWVbQwFkpJgrQFr3Jz8pYFWui4xmk7IqcB0b+Mt0tM84rQqQ&#10;mpQFx641v5ZfxPElqc7Xqz62u8IhpznL+bU8trX3ArQnixL86L2jH9Z5ReuxlTp+ywL/vgywo2E8&#10;dPW94rCOP6r5NaPqQI7titMOm/fKLRwTxqYkPRe82UBuUNt5sXCXGWJVyqrXZPXmoupN587YYtyx&#10;evwKo+wco+kc98i4K2AYZecYkTQFI4GhBwaCeQVpcDwD8QwOmKJwwCg1CAwkMJDQQEKrt2B5cQ5G&#10;ij9Wb1ayPyuAGSkBkKogDsNzzqgcXInfVZ4u9l6Q0bTMrt9WvarkQpB69So9zquan5CavyUVdAcn&#10;hSbzN/g1Y+Xl2KKMQZ5zSLSAYwNl9dHqXVZkNbbqD2tSUey2SAHGrfPKPEw4nh2xKTJiNT8V1ycf&#10;VgKyeluJPxmdvcNu6o9AdWzsZyp3lcvf67FVwFwI01Hl5zAbRXkqR1bvHIKMJVB+eQSJPiU1BUeA&#10;Z0MmyaguWZ4d54zJB2FL6IRVSoJwqxKHrZevy0zBwsAGObXf9fLNbKbAngEPQdJQgfDtvECoftHj&#10;1ys6gy0bW39aFn3GFTlKdiYoURNpvTOR1mICtBVj5FCzSvKrArOE3oPTUudbzsl9872zihS1sJTl&#10;BSk+/UuQ4pKKWi5Y0U2jt8lCTRCCVmTXO3RokQlhEVfXuRu8GTc9NJKHAZeCyMh1ueagno5KCBQe&#10;FZ+1Vav1cYtSXJ3cBCvEthsACCsInc1oyk9qQQzk1UrxGiVbT5IunMVXKOkd0iVu2ciUumMhU8bK&#10;kTUvz8TDIWWUU63TWqhWrOT7FSVC6JT8idGSFGvCTqQ8tjNnpJpTrmQyL+BFhUamoyvYCe1+aDan&#10;Cnh9G/BKrU0GgedFiRO4nh+7ru/HR33pi9KRkfiBE+Gfm4TNf0X2UmvEIA79MAi9IPLi2HNCuFS5&#10;l4WZD0HWC5IojsMocu3IE/PgyvbJAGgPPSXVRIRc4kwYH+baIqYlU8TnCCFWiK3UOxC1pec0U1MX&#10;pLqelKzcCiygeBTGJR3lmT65ZnpZZVQT1xBlAGDN39GZWDHbO11Qyp1vnu8/dxyxcQkGwoTA0gqU&#10;FZ8gotHXIb2JgPXwLmXm09HF3qd/rGB9Se8j6ZXTRVmvyoz89+/lxad/Fp/+LaheSKashCEUoYGh&#10;rh7kXjDUm9Pm5y7nYXy9EsgtzHuaqrwQLvXl7Ac6h/u40PKluZUSeUnFenmDXQfPHXv0/BV+N0wD&#10;WsM0FSlPILB731NIMGESTcbPEnqDsUZPdjiLSDTcZmDLfeFABWuBE3XhuC1O3IXjtThJF47f4Ljy&#10;xO2FtvsJWhwpSrfhhC2O2/WuqMXxunDiFsfvwklanGAbB8LW3pZ6MEKo7xxhvmBux9U78upbfWmJ&#10;QYHaS3727bNnSj5a2BdffJzESdR5fnP3HiJxx+4UEXP9nmsHXvhZCfB8J/TCTmEyQuCFjhMEnWhG&#10;DrzIBVrnS40oeFHsRk7nLRpp8CI7DuNOwTIC4Xm+G9o7993KaCMTSejbuwy5Qyy0PNArEe0IycCo&#10;t64QJv888bzYnkz8fnAYHvV9O5n0D448t38UuYcurjDwJpNf2kwMCcVOdv25VNTfyMLC0brIP6zp&#10;S+1ef0bELH/6hwcHXt8/SA77B8dR3D8K7QQ/3vF+4P2inRL2LA2wOQXOqz3HrgPRdn7DgWjInQ5E&#10;avRjHcjHRZkVJZK6X9FzqIx0N3+4X5D75DnG1pPnMA4CqvRFnsOVnqNVlF/Bc3iO49mdVtc4DhhJ&#10;//Nhg4fwttvhm+sPQt+xOy2z8Rq+4/leZ4BhnIYbeIHb6VqMz4htN3Y+G0CgoBH4SacvMC4j8Vyk&#10;ANsRwk2PEbqeE+/EPl+xw3Ae5zCykymrhR+sF+XlCZ0jY3xFTValchUx8yNBVXqjYipgE8J/IMvt&#10;SFvAT2l1K/wtrUSJ7wadg/V0yuhp/nGTFG6k2dqcrP6SZ1znak5gsiJZ81gpeqLkJTM6cmVcahA5&#10;XgLB0ane9kQcBYnyHjJ5axI5KP++LK5so2/QqVOC2thc8KyschxIVqrVLpZ58ZpcaS+9gZjJTHrr&#10;5OTqbamrylO18yYBV775t19mRLzyoDLjZm3s91JehGyK+uGSZYOdCmB1ayVxk0d6be/Vf/62tbap&#10;4ShRgcooyWlLFNvViweUXpyBaydh5Ee+bbt+EAfuUV+WRprSSzjw4jBAeuBHThxEiOx1cQbb2X49&#10;AO3Ofq8FyyedgdTeLMk/qFCJmOt4yVFWF91MUY0ZW7pIg1ZGuYa3OUGDh2a6eSLk8a9ldZan56/R&#10;glPWWLZFpOOA7e6e5FgET9mY7AKp11mp/eNtdfYe2j1J4KL9lIruzgxlNQyXK2ymLubo7LA52i4p&#10;mjwPsYDwgbc1WGIDBo/vaLDIzibODKx7l//7ocxSheX/7TS8kidH9CilQs6DHnq9r6vOInBq4iM9&#10;R3WsIpoDP9FKi7540vGX0gU2ZfuQbAUT0i1VC1A0AWvTC2hitaJ8vWY8P7lg0K2N6AieoonDEHXe&#10;FpBt7G8jzrojIBPab86nRFjsDW/aWH53mKar+tKIfF/lmeiQqtBZGwBWfP1aL702rOTWAW8xtLIk&#10;Kr5O2Ta0Ogj/PxpaYT4f1dB8smhfT+f+i8OEWyzaRgonrd3tFk1OHVB+Sam2YlP1oCxZlter90XO&#10;pd5P1znjLwvxrIzXEn128dWStiwbyFCrxpA9ti8PWltdWJm0i3SUyVETo+i0UkGPCl5dC6Smt6gL&#10;wZs2T4JAfmdJG7VvB/QPyCfsge/bEZKFJEwQSaASkyjGmpLDIEEFyonR5hUdM1S2AjXfNHLRr/Bs&#10;x/US1/diF50ENa+LA/HARo/Xt70k9l10GvzoKRuBgez4UOgpbnp0MqJURSiW0Mkf8/pNwbQsGwWD&#10;yTjAtz3n9b6OoVDPUkIrqmWHCH1q8YkYCkc7IZD5uMAYjK3+eBPfq0X4zE7QFIH/5sda9w1JGk+K&#10;j5vE94/3zhKw4LMfqSmiOmi6h0lHziW+umSH4hOFCpZsbFUvM1WWFpHo+5X4unObiZtrZLgnv+qT&#10;X8nu/Q8AAP//AwBQSwMEFAAGAAgAAAAhALh47OvnBAAAGCYAABUAAABkcnMvY2hhcnRzL3N0eWxl&#10;MS54bWzsWmFv2jwQ/iuRf0AD9KUFVCp1rSZNou+qbdL72SQOeHPivLYZpb9+ZycxcRKgiIZBt2/k&#10;EiW+57l77nzmJpCjYI6F+qpWjHjPMUvAIMdorlQ68n0ZzEmM5UVMA8Elj9RFwGOfRxENiB8KvKTJ&#10;zO91uj1//RaUvwbX3sJTksAnIi5irOQFF7PiHTGDt3Su/BjTBHk0HKPe8Brd3sDy8DOV36hixFyx&#10;5AuJ4IHnMeog35giyljNSKKIBKpmjniyNsY04QI+gkfGTXLPhPcTszFSz11jZov4kYeZ7arf6Zgv&#10;4hGYP0dRZr4szH7pLbc3Piw8/5ZZY0iiL0/Cky9j1NXv8X4QkcBvcFp7oR93/QywIjMuVnfg/Tk7&#10;LtMnoRFmibcco2G/10degNMxihhW8DNOgWuZzJCH2QwQCVTOCGc0/AjMvpKebsGDS8+gMFfoAbLK&#10;HxB8kYSaB73QjI5s4cBLibphM3M1rkwu3AmCvZiHkEyYMb78l2t3Pv8kQtCQgLvGNqEJKWxZvB8t&#10;wvO4K4dpwZYDTiU5prOuCdkKhO+C4E25aQnNkhkrPMFTArEJ8XE0vkwalRTpuohtN+R7hbkS8psV&#10;aUNYh46b9upeR+5CHc/38Mdbq/FrwpypDWFuBKksHpX8aFqu5cSlyjJYocpJrf01CZie8nAF9UZw&#10;peukJ9PgIxVSTbBUT1hAZe4iD5RIaemJQIhAeBlNkTfn4qVq089BKYc7yFsKrd3y/wUWBHnsUwLq&#10;dnnVv75CnjIX3UFvMECeKN+Zlu/gJIBXZULvZRf3Cq4zjmV6t1AglCoXp8yPTJEbI1AbnzhNXheP&#10;+iOAjtTNjq32GL5YFOG8lzBPHdxCVAVWV3l3vfbq8uFV+XRC689XbD3Qhazuww64jXaaZ5wmzmQe&#10;gPXmDGjunYakN+hfFx2JSELT9W0rfukcwqap/G3sIBzSLUgWtkcsoBV8O+B2AN5qfNfQNe3eLr3c&#10;AGlN9hwgS7BVoJzgFVQnT67iKYdWPqAiYCBVkr6QMepr6spZ+B8VJBI4PsPQLfXSR4hcFyiN+Tc8&#10;Pe89WaEEiWnMITB08/9+dykuZyFfJh9wg/BkCeLIcbHRblOOt4luU0dlWye3o7KN1raOqn2e9xwW&#10;OP0eHm2vJSXiQsFTW1KOtg+ptjXNst/KLt9OW1zWLdzbWd+OaxlL2KNzcUrp0bYwWQRdYC3eBwDr&#10;YAl7DX46ouMov9Z/a2jsPtaLn8EIh0HD+4i/n5A7bQdJSzM23djVAbUWPaSt98e/qUy1DXExu3HT&#10;cFiYD0jDOp5zOuF/VPXQKDaM8K35AHRdLAkOifijoLWFwg1cW1YOgJZV0CQzkoTHFQSzNShNXq1b&#10;rrcWhIq3oG/lIfvuAwW29jFlXJ3dSYJW9GLhhqni4vLhrE5Eyn7k8y5JBCXy3E/ldodgxc/s8q+k&#10;jZHN/UqS77OHq6Cp3tPp9j/6jHRqTh1KZ9z6BMLYplgS3Tnnx/c6w9buKwHSru/W5d1YNs/tNwyS&#10;jzG5yFrC7rDTB8fN0fZB47gUjmkesJxnfy+QK/nAVT5wdo+mDXQOYBa+EzictGnSUols8HWRntKO&#10;fdtAa+PZYrvTxz052UfR1tjDH2gW5P3XR9fNJZyJ1zXrN+1R7RADUg/+zLJrqpGtXavJ+i9ct78A&#10;AAD//wMAUEsDBBQABgAIAAAAIQAcFKeoAgEAAG4DAAAWAAAAZHJzL2NoYXJ0cy9jb2xvcnMxLnht&#10;bJyTQW6DMBBFr4J8AAwkoRUK2WRdddETjAY7WLI9ke2mze1rSKGFqkjg3czXf39mJB/RV0ia3Fu4&#10;a5F8Gm1jw9esDeFace6xFQZ8ahQ68iRDimQ4SalQ8MbBh7IXXmR5wbEFF3oK+8bAHwpdhY0RkpyB&#10;4FNyl4FhdKRkJTegLEuMCG3N8I5asEQ1NcszdjpC1U8jztolN9A1A0RhQ874v1qxoO0WtP2CdljQ&#10;yk6LJ72BUxAU2VnZDarfzQs1jw3KLL7Ow3+bpoi553nw9KhXKR+oeL7tqBXx48jT+P2G+MMGz9Pg&#10;mcbvhvaKTUbUCs848jR+bM9QXfnzvU5fAAAA//8DAFBLAwQUAAYACAAAACEAdKhqQAMGAAA1GQAA&#10;HAAAAGRycy90aGVtZS90aGVtZU92ZXJyaWRlMS54bWzsWc9rG0cUvhf6Pyx7byTZ+hGbyMGWrLi1&#10;nYRISclxrB3tTj07s8yM7OhWklMvhUJaWmigPfVQSgMNNPTSQ+lfYnBo0z+ib2ZXqxlpZMfGhVBi&#10;g5Fmv/fmm/fefG9mfePmo5QGR1hIwlk7rF2rhgFmQx4RFrfD+4PeB9fDQCrEIkQ5w+1wgmV4c+P9&#10;926gdZXgFN8BW0EiHIAfJtdRO0yUytYrFTmEx0he4xlm8GzERYoUfBVxJRLoGPyntLJSrTYrKSIs&#10;3ACHQyr62goHDKUw1y5iQ0z/+P7Pb8zj6LCmUXIiO1QER4i2Q3AT8eMBfqTCgCKp4EE7rJqfsLJx&#10;o4LWCyOqlthadj3zU9gVBtHhiplTxAflpPV6o97cLP0bAFWLuO3WdnO7WfozADQcYlZwsX02tta2&#10;uo0Ca4Hyjx7f3VZ3tebgLf+rC5w3G/rXwRtQ7r++gO/1OhBFB29AOb6xgK/XWyuduoM3oBzfXMC3&#10;qpvdesvBG1BCCTtcQFcbzdXOdLUlZMTpjhe+1qj3WiuF8xkKqqGsMD3FiDN1Vr2l6BMuegDSYIoU&#10;YYGaZHiEhlCbHUTJgSDBHokTKL4MMS5huLpS7VVX4a/+rZtPJipoHSPLWnMDNnJhSHMK5FCQTLXD&#10;j8BraEFOX748efzi5PGvJ0+enDz+uZjbuHLsdhCLbbvXP3zxz7NPg79/+e710y/zqefx0sa/+umz&#10;V7/9fpZ7WPEsFKdfPX/14vnp15//9eNTj/dNgQ5s+ICkWAa38XFwj6ewQA9/fCAuZjFIELEtNlks&#10;EUN6Fo//bZU46NsTRJEHt4XdOD4QIDc+4K3xJw7hfiLGing87iapA9znnG5x4Y3Crp7LCvNgzGL/&#10;5GJs4+4hdOSbu4OYk+XtcQZaS3wuOwl2aN6liCkUY4ZVoJ/xQ4w9q3tIiBPXfTIUXPKRCh6SYAsR&#10;b0gG5MCpppnRDkkhLxMfQci3E5v9B8EWp75Vd/GRi4S9gaiH/ABTJ4y30Fih1OdygFJqB3wPqcRH&#10;sj8RQxu3LRVkOsaUB9sRltJnc0fAeq2k74LM+NO+TyepixSKHPp87iHObWSXH3YSlGY+bJ+wxMZ+&#10;KA+hRFFwlysffJ+7O0R/hzwgtjTdDwh20n2+GtwHhbUpzQpEPxkLTy5vYe7Ub39CRwgbqYEm4Oh6&#10;Sti5Ij8n743/Tt5BRE+/feZZ0dVIut+xk48LivmmIN7dtDMn4ctw88Ld4SIib79ud9GY3cWwVRab&#10;1zvZfifbcHP5n8v2sv189WI902eQbn1szY/s5gCfnnl+HxFK+2pC8Z40R3gJnSnqwaC2NddTXN7p&#10;sgQ+6t0Mkzi4WCBjEwiuPiYq6Scog3N+LdROYlm4jmWQcQnHfzPs9a3xdJzu8yi/utZq+pqaC4hE&#10;ajZebZTjcOVQObrZml3HSveGbSxzJjkBbXsREtZkLolVD4nWdFAHyVzUIWgeEmZlV8JizcPiunY/&#10;TdUCC6BWZgX2YAAHrnbYqIMJGMHNClEc6TzlqZ5m14TwKjO9LJhOBcA5YloBs0yvaa5Ll6dX98aZ&#10;dkhY5eaSMJExfUwmCF7kmBcrRQqLDbEQ5RmNi+Z6bZZSh54OxXQ3zGi0rp8VjMvmGuzmtYEyWyko&#10;C47bYXO1ASUzRFk7HMH1Hz6mGdSO1EdeRGN4XTZUIt/wl1GWTEjVRTLJA25EJ1eDlCgsAkrSdqiX&#10;X1YDZUZDDLfaCgjCW0tuDWTlbSMHSXeTjEcjPFR22q0RHen8Kyh8vgu8T4355cHako8h3f0kOg4O&#10;6FjcQ1BijVZNBzAiEt4C1fJoRgRebZZCNqu/ucZUyK79btHUUD6OaJagoqPYYp7DjZSXdMy3MgbW&#10;t2LNEFArJEUjPIh1g7WD6nTTsmvkHJZ23fONdOQs0Zz1TEdVdNf0i6kzw7QNzMXyck3eYjUNMbRL&#10;u8PnTXpectemWjd3Tii7BAS8jJ+n675B67eozSZzqGnGizKsNbsYdXvHdIHnUHuTJmE1n+bU7Vzc&#10;yh7hnQ4GL9X5wW6+amFoND1bmkg7/+rY+BcAAP//AwBQSwMEFAAGAAgAAAAhALh47OvnBAAAGCYA&#10;ABUAAABkcnMvY2hhcnRzL3N0eWxlMi54bWzsWmFv2jwQ/iuRf0AD9KUFVCp1rSZNou+qbdL72SQO&#10;eHPivLYZpb9+ZycxcRKgiIZBt2/kEiW+57l77nzmJpCjYI6F+qpWjHjPMUvAIMdorlQ68n0ZzEmM&#10;5UVMA8Elj9RFwGOfRxENiB8KvKTJzO91uj1//RaUvwbX3sJTksAnIi5irOQFF7PiHTGDt3Su/BjT&#10;BHk0HKPe8Brd3sDy8DOV36hixFyx5AuJ4IHnMeog35giyljNSKKIBKpmjniyNsY04QI+gkfGTXLP&#10;hPcTszFSz11jZov4kYeZ7arf6Zgv4hGYP0dRZr4szH7pLbc3Piw8/5ZZY0iiL0/Cky9j1NXv8X4Q&#10;kcBvcFp7oR93/QywIjMuVnfg/Tk7LtMnoRFmibcco2G/10degNMxihhW8DNOgWuZzJCH2QwQCVTO&#10;CGc0/AjMvpKebsGDS8+gMFfoAbLKHxB8kYSaB73QjI5s4cBLibphM3M1rkwu3AmCvZiHkEyYMb78&#10;l2t3Pv8kQtCQgLvGNqEJKWxZvB8twvO4K4dpwZYDTiU5prOuCdkKhO+C4E25aQnNkhkrPMFTArEJ&#10;8XE0vkwalRTpuohtN+R7hbkS8psVaUNYh46b9upeR+5CHc/38Mdbq/FrwpypDWFuBKksHpX8aFqu&#10;5cSlyjJYocpJrf01CZie8nAF9UZwpeukJ9PgIxVSTbBUT1hAZe4iD5RIaemJQIhAeBlNkTfn4qVq&#10;089BKYc7yFsKrd3y/wUWBHnsUwLqdnnVv75CnjIX3UFvMECeKN+Zlu/gJIBXZULvZRf3Cq4zjmV6&#10;t1AglCoXp8yPTJEbI1AbnzhNXheP+iOAjtTNjq32GL5YFOG8lzBPHdxCVAVWV3l3vfbq8uFV+XRC&#10;689XbD3Qhazuww64jXaaZ5wmzmQegPXmDGjunYakN+hfFx2JSELT9W0rfukcwqap/G3sIBzSLUgW&#10;tkcsoBV8O+B2AN5qfNfQNe3eLr3cAGlN9hwgS7BVoJzgFVQnT67iKYdWPqAiYCBVkr6QMepr6spZ&#10;+B8VJBI4PsPQLfXSR4hcFyiN+Tc8Pe89WaEEiWnMITB08/9+dykuZyFfJh9wg/BkCeLIcbHRblOO&#10;t4luU0dlWye3o7KN1raOqn2e9xwWOP0eHm2vJSXiQsFTW1KOtg+ptjXNst/KLt9OW1zWLdzbWd+O&#10;axlL2KNzcUrp0bYwWQRdYC3eBwDrYAl7DX46ouMov9Z/a2jsPtaLn8EIh0HD+4i/n5A7bQdJSzM2&#10;3djVAbUWPaSt98e/qUy1DXExu3HTcFiYD0jDOp5zOuF/VPXQKDaM8K35AHRdLAkOifijoLWFwg1c&#10;W1YOgJZV0CQzkoTHFQSzNShNXq1brrcWhIq3oG/lIfvuAwW29jFlXJ3dSYJW9GLhhqni4vLhrE5E&#10;yn7k8y5JBCXy3E/ldodgxc/s8q+kjZHN/UqS77OHq6Cp3tPp9j/6jHRqTh1KZ9z6BMLYplgS3Tnn&#10;x/c6w9buKwHSru/W5d1YNs/tNwySjzG5yFrC7rDTB8fN0fZB47gUjmkesJxnfy+QK/nAVT5wdo+m&#10;DXQOYBa+EzictGnSUols8HWRntKOfdtAa+PZYrvTxz052UfR1tjDH2gW5P3XR9fNJZyJ1zXrN+1R&#10;7RADUg/+zLJrqpGtXavJ+i9ct78AAAD//wMAUEsBAi0AFAAGAAgAAAAhACyrwnRkAQAAewUAABMA&#10;AAAAAAAAAAAAAAAAAAAAAFtDb250ZW50X1R5cGVzXS54bWxQSwECLQAUAAYACAAAACEAOP0h/9YA&#10;AACUAQAACwAAAAAAAAAAAAAAAACVAQAAX3JlbHMvLnJlbHNQSwECLQAUAAYACAAAACEAEvhtEx4C&#10;AABcBgAADgAAAAAAAAAAAAAAAACUAgAAZHJzL2Uyb0RvYy54bWxQSwECLQAUAAYACAAAACEAdKhq&#10;QAMGAAA1GQAAHAAAAAAAAAAAAAAAAADeBAAAZHJzL3RoZW1lL3RoZW1lT3ZlcnJpZGUyLnhtbFBL&#10;AQItABQABgAIAAAAIQBwufhN3gAAAAYBAAAPAAAAAAAAAAAAAAAAABsLAABkcnMvZG93bnJldi54&#10;bWxQSwECLQAUAAYACAAAACEAet90s8IAAACnAQAAGQAAAAAAAAAAAAAAAAAmDAAAZHJzL19yZWxz&#10;L2Uyb0RvYy54bWwucmVsc1BLAQItABQABgAIAAAAIQAL1cq8ZgEAABQDAAAgAAAAAAAAAAAAAAAA&#10;AB8NAABkcnMvY2hhcnRzL19yZWxzL2NoYXJ0Mi54bWwucmVsc1BLAQItABQABgAIAAAAIQBwZ7E9&#10;ZgEAABQDAAAgAAAAAAAAAAAAAAAAAMMOAABkcnMvY2hhcnRzL19yZWxzL2NoYXJ0MS54bWwucmVs&#10;c1BLAQItABQABgAIAAAAIQAcFKeoAgEAAG4DAAAWAAAAAAAAAAAAAAAAAGcQAABkcnMvY2hhcnRz&#10;L2NvbG9yczIueG1sUEsBAi0AFAAGAAgAAAAhALUZCfBYCQAAeyMAABUAAAAAAAAAAAAAAAAAnREA&#10;AGRycy9jaGFydHMvY2hhcnQyLnhtbFBLAQItABQABgAIAAAAIQBgW5j8GAoAAG0rAAAVAAAAAAAA&#10;AAAAAAAAACgbAABkcnMvY2hhcnRzL2NoYXJ0MS54bWxQSwECLQAUAAYACAAAACEAuHjs6+cEAAAY&#10;JgAAFQAAAAAAAAAAAAAAAABzJQAAZHJzL2NoYXJ0cy9zdHlsZTEueG1sUEsBAi0AFAAGAAgAAAAh&#10;ABwUp6gCAQAAbgMAABYAAAAAAAAAAAAAAAAAjSoAAGRycy9jaGFydHMvY29sb3JzMS54bWxQSwEC&#10;LQAUAAYACAAAACEAdKhqQAMGAAA1GQAAHAAAAAAAAAAAAAAAAADDKwAAZHJzL3RoZW1lL3RoZW1l&#10;T3ZlcnJpZGUxLnhtbFBLAQItABQABgAIAAAAIQC4eOzr5wQAABgmAAAVAAAAAAAAAAAAAAAAAAAy&#10;AABkcnMvY2hhcnRzL3N0eWxlMi54bWxQSwUGAAAAAA8ADwD+AwAAGj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 2" o:spid="_x0000_s1027" type="#_x0000_t75" style="position:absolute;width:32408;height:274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jmDwQAAANoAAAAPAAAAZHJzL2Rvd25yZXYueG1sRI9fa8Iw&#10;FMXfB/sO4Q58GZoqOLQzyhAFX+cs+HhJrm1pcxOaqK2ffhEGezycPz/OatPbVtyoC7VjBdNJBoJY&#10;O1NzqeD0sx8vQISIbLB1TAoGCrBZv76sMDfuzt90O8ZSpBEOOSqoYvS5lEFXZDFMnCdO3sV1FmOS&#10;XSlNh/c0bls5y7IPabHmRKjQ07Yi3RyvNkH8UtePxjeDHs79vDCki927UqO3/usTRKQ+/of/2gej&#10;YAbPK+kGyPUvAAAA//8DAFBLAQItABQABgAIAAAAIQDb4fbL7gAAAIUBAAATAAAAAAAAAAAAAAAA&#10;AAAAAABbQ29udGVudF9UeXBlc10ueG1sUEsBAi0AFAAGAAgAAAAhAFr0LFu/AAAAFQEAAAsAAAAA&#10;AAAAAAAAAAAAHwEAAF9yZWxzLy5yZWxzUEsBAi0AFAAGAAgAAAAhACqCOYPBAAAA2gAAAA8AAAAA&#10;AAAAAAAAAAAABwIAAGRycy9kb3ducmV2LnhtbFBLBQYAAAAAAwADALcAAAD1AgAAAAA=&#10;">
                  <v:imagedata r:id="rId13" o:title=""/>
                  <o:lock v:ext="edit" aspectratio="f"/>
                </v:shape>
                <v:shape id="Graf 3" o:spid="_x0000_s1028" type="#_x0000_t75" style="position:absolute;left:31162;top:75;width:30834;height:2744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dH2wwAAANoAAAAPAAAAZHJzL2Rvd25yZXYueG1sRI9LiwIx&#10;EITvgv8htOBNMyosMhrFxy7rRRYfCN6aSc9DJ51hktVxf71ZEDwWVfUVNZ03phQ3ql1hWcGgH4Eg&#10;TqwuOFNwPHz1xiCcR9ZYWiYFD3Iwn7VbU4y1vfOObnufiQBhF6OC3PsqltIlORl0fVsRBy+1tUEf&#10;ZJ1JXeM9wE0ph1H0IQ0WHBZyrGiVU3Ld/xoF29MwOeNS/11wY7/Xj890YX5SpbqdZjEB4anx7/Cr&#10;vdEKRvB/JdwAOXsCAAD//wMAUEsBAi0AFAAGAAgAAAAhANvh9svuAAAAhQEAABMAAAAAAAAAAAAA&#10;AAAAAAAAAFtDb250ZW50X1R5cGVzXS54bWxQSwECLQAUAAYACAAAACEAWvQsW78AAAAVAQAACwAA&#10;AAAAAAAAAAAAAAAfAQAAX3JlbHMvLnJlbHNQSwECLQAUAAYACAAAACEAsNnR9sMAAADaAAAADwAA&#10;AAAAAAAAAAAAAAAHAgAAZHJzL2Rvd25yZXYueG1sUEsFBgAAAAADAAMAtwAAAPcCAAAAAA==&#10;">
                  <v:imagedata r:id="rId14" o:title=""/>
                  <o:lock v:ext="edit" aspectratio="f"/>
                </v:shape>
              </v:group>
            </w:pict>
          </mc:Fallback>
        </mc:AlternateContent>
      </w:r>
    </w:p>
    <w:p w14:paraId="6C9A714B" w14:textId="77777777" w:rsidR="00A03F2C" w:rsidRPr="00A03F2C" w:rsidRDefault="00A03F2C" w:rsidP="00A03F2C">
      <w:pPr>
        <w:suppressAutoHyphens w:val="0"/>
        <w:spacing w:before="120" w:after="120" w:line="259" w:lineRule="auto"/>
        <w:jc w:val="center"/>
      </w:pPr>
    </w:p>
    <w:p w14:paraId="7BF92CA0" w14:textId="77777777" w:rsidR="00A03F2C" w:rsidRPr="00A03F2C" w:rsidRDefault="00A03F2C" w:rsidP="00A03F2C">
      <w:pPr>
        <w:suppressAutoHyphens w:val="0"/>
        <w:spacing w:after="160" w:line="259" w:lineRule="auto"/>
        <w:rPr>
          <w:rFonts w:eastAsia="Calibri"/>
        </w:rPr>
      </w:pPr>
    </w:p>
    <w:p w14:paraId="2131E2FF" w14:textId="77777777" w:rsidR="00A03F2C" w:rsidRPr="00A03F2C" w:rsidRDefault="00A03F2C" w:rsidP="00A03F2C">
      <w:pPr>
        <w:suppressAutoHyphens w:val="0"/>
        <w:spacing w:after="160" w:line="259" w:lineRule="auto"/>
        <w:rPr>
          <w:rFonts w:eastAsia="Calibri"/>
        </w:rPr>
      </w:pPr>
    </w:p>
    <w:p w14:paraId="11DE27A2" w14:textId="77777777" w:rsidR="00A03F2C" w:rsidRPr="00A03F2C" w:rsidRDefault="00A03F2C" w:rsidP="00A03F2C">
      <w:pPr>
        <w:suppressAutoHyphens w:val="0"/>
        <w:spacing w:after="160" w:line="259" w:lineRule="auto"/>
        <w:rPr>
          <w:rFonts w:eastAsia="Calibri"/>
        </w:rPr>
      </w:pPr>
    </w:p>
    <w:p w14:paraId="12A320E9" w14:textId="77777777" w:rsidR="00A03F2C" w:rsidRPr="00A03F2C" w:rsidRDefault="00A03F2C" w:rsidP="00A03F2C">
      <w:pPr>
        <w:suppressAutoHyphens w:val="0"/>
        <w:spacing w:after="160" w:line="259" w:lineRule="auto"/>
        <w:rPr>
          <w:rFonts w:eastAsia="Calibri"/>
        </w:rPr>
      </w:pPr>
    </w:p>
    <w:p w14:paraId="173240D2" w14:textId="77777777" w:rsidR="00A03F2C" w:rsidRPr="00A03F2C" w:rsidRDefault="00A03F2C" w:rsidP="00A03F2C">
      <w:pPr>
        <w:suppressAutoHyphens w:val="0"/>
        <w:spacing w:after="160" w:line="259" w:lineRule="auto"/>
        <w:rPr>
          <w:rFonts w:eastAsia="Calibri"/>
        </w:rPr>
      </w:pPr>
    </w:p>
    <w:p w14:paraId="7DED7846" w14:textId="77777777" w:rsidR="00A03F2C" w:rsidRPr="00A03F2C" w:rsidRDefault="00A03F2C" w:rsidP="00AE45FE">
      <w:pPr>
        <w:spacing w:before="280" w:after="0" w:line="240" w:lineRule="auto"/>
        <w:jc w:val="right"/>
        <w:rPr>
          <w:rFonts w:eastAsia="Calibri"/>
          <w:sz w:val="18"/>
        </w:rPr>
      </w:pPr>
      <w:r w:rsidRPr="00A03F2C">
        <w:rPr>
          <w:rFonts w:eastAsia="Calibri"/>
          <w:sz w:val="18"/>
        </w:rPr>
        <w:t>Zdroj: ČNB – ARAD</w:t>
      </w:r>
    </w:p>
    <w:p w14:paraId="1A2C1A48" w14:textId="77777777" w:rsidR="00A03F2C" w:rsidRPr="00A03F2C" w:rsidRDefault="00A03F2C" w:rsidP="00A03F2C">
      <w:pPr>
        <w:suppressAutoHyphens w:val="0"/>
        <w:spacing w:after="120"/>
        <w:jc w:val="both"/>
        <w:rPr>
          <w:rFonts w:eastAsia="Calibri"/>
          <w:sz w:val="18"/>
        </w:rPr>
      </w:pPr>
      <w:r w:rsidRPr="00A03F2C">
        <w:lastRenderedPageBreak/>
        <w:t xml:space="preserve">Objem celkové úplaty penzijních společností za obhospodařování postupně rostl a docházelo ke zvyšování čistého zisku penzijních společností i podílu jejich kapitálu ke kapitálovým požadavkům </w:t>
      </w:r>
      <w:r w:rsidRPr="009D2306">
        <w:t>(graf</w:t>
      </w:r>
      <w:r w:rsidR="000072B6" w:rsidRPr="009D2306">
        <w:t> </w:t>
      </w:r>
      <w:r w:rsidRPr="009D2306">
        <w:t>2).</w:t>
      </w:r>
      <w:r w:rsidRPr="00A03F2C">
        <w:t xml:space="preserve"> </w:t>
      </w:r>
    </w:p>
    <w:p w14:paraId="28F8F195" w14:textId="77777777" w:rsidR="00A03F2C" w:rsidRPr="00A03F2C" w:rsidRDefault="00A03F2C" w:rsidP="00A03F2C">
      <w:pPr>
        <w:spacing w:before="80" w:after="120"/>
        <w:jc w:val="both"/>
        <w:rPr>
          <w:rFonts w:eastAsia="Calibri"/>
          <w:b/>
          <w:bCs/>
          <w:color w:val="4F81BD"/>
          <w:sz w:val="20"/>
          <w:szCs w:val="18"/>
        </w:rPr>
      </w:pPr>
      <w:bookmarkStart w:id="165" w:name="_Toc229664379"/>
      <w:r w:rsidRPr="00A03F2C">
        <w:rPr>
          <w:rFonts w:eastAsia="Calibri"/>
          <w:b/>
          <w:bCs/>
          <w:color w:val="4F81BD"/>
          <w:sz w:val="20"/>
          <w:szCs w:val="18"/>
        </w:rPr>
        <w:t xml:space="preserve">Graf </w:t>
      </w:r>
      <w:r w:rsidRPr="00A03F2C">
        <w:rPr>
          <w:rFonts w:eastAsia="Calibri"/>
          <w:b/>
          <w:bCs/>
          <w:color w:val="4F81BD"/>
          <w:sz w:val="20"/>
          <w:szCs w:val="18"/>
        </w:rPr>
        <w:fldChar w:fldCharType="begin"/>
      </w:r>
      <w:r w:rsidRPr="00A03F2C">
        <w:rPr>
          <w:rFonts w:eastAsia="Calibri"/>
          <w:b/>
          <w:bCs/>
          <w:color w:val="4F81BD"/>
          <w:sz w:val="20"/>
          <w:szCs w:val="18"/>
        </w:rPr>
        <w:instrText xml:space="preserve"> SEQ Graf \* ARABIC </w:instrText>
      </w:r>
      <w:r w:rsidRPr="00A03F2C">
        <w:rPr>
          <w:rFonts w:eastAsia="Calibri"/>
          <w:b/>
          <w:bCs/>
          <w:color w:val="4F81BD"/>
          <w:sz w:val="20"/>
          <w:szCs w:val="18"/>
        </w:rPr>
        <w:fldChar w:fldCharType="separate"/>
      </w:r>
      <w:r w:rsidR="009D2306">
        <w:rPr>
          <w:rFonts w:eastAsia="Calibri"/>
          <w:b/>
          <w:bCs/>
          <w:noProof/>
          <w:color w:val="4F81BD"/>
          <w:sz w:val="20"/>
          <w:szCs w:val="18"/>
        </w:rPr>
        <w:t>2</w:t>
      </w:r>
      <w:r w:rsidRPr="00A03F2C">
        <w:rPr>
          <w:rFonts w:eastAsia="Calibri"/>
          <w:b/>
          <w:bCs/>
          <w:color w:val="4F81BD"/>
          <w:sz w:val="20"/>
          <w:szCs w:val="18"/>
        </w:rPr>
        <w:fldChar w:fldCharType="end"/>
      </w:r>
      <w:r w:rsidRPr="00A03F2C">
        <w:rPr>
          <w:rFonts w:eastAsia="Calibri"/>
          <w:b/>
          <w:bCs/>
          <w:color w:val="4F81BD"/>
          <w:sz w:val="20"/>
          <w:szCs w:val="18"/>
        </w:rPr>
        <w:t>: Úplaty, zisk a podíl kapitálu ke kapitálovým požadavkům penzijních společností</w:t>
      </w:r>
      <w:bookmarkEnd w:id="165"/>
      <w:r w:rsidRPr="00A03F2C">
        <w:rPr>
          <w:rFonts w:eastAsia="Calibri"/>
          <w:b/>
          <w:bCs/>
          <w:color w:val="4F81BD"/>
          <w:sz w:val="20"/>
          <w:szCs w:val="18"/>
        </w:rPr>
        <w:t xml:space="preserve"> </w:t>
      </w:r>
    </w:p>
    <w:p w14:paraId="7158A829" w14:textId="77777777" w:rsidR="00A03F2C" w:rsidRPr="00A03F2C" w:rsidRDefault="00A03F2C" w:rsidP="00A03F2C">
      <w:pPr>
        <w:suppressAutoHyphens w:val="0"/>
        <w:spacing w:after="160" w:line="259" w:lineRule="auto"/>
        <w:jc w:val="right"/>
        <w:rPr>
          <w:rFonts w:eastAsia="Calibri"/>
        </w:rPr>
      </w:pPr>
      <w:r w:rsidRPr="00A03F2C">
        <w:rPr>
          <w:rFonts w:eastAsia="Calibri"/>
          <w:noProof/>
          <w:lang w:eastAsia="cs-CZ"/>
        </w:rPr>
        <w:drawing>
          <wp:inline distT="0" distB="0" distL="0" distR="0" wp14:anchorId="689040DB" wp14:editId="7030C145">
            <wp:extent cx="5760000" cy="2520000"/>
            <wp:effectExtent l="0" t="0" r="0" b="0"/>
            <wp:docPr id="10" name="Graf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A03F2C">
        <w:rPr>
          <w:rFonts w:eastAsia="Calibri"/>
          <w:sz w:val="18"/>
        </w:rPr>
        <w:t>Zdroj: ČNB – ARAD</w:t>
      </w:r>
    </w:p>
    <w:p w14:paraId="71380E39" w14:textId="77777777" w:rsidR="00A03F2C" w:rsidRPr="00A03F2C" w:rsidRDefault="00A03F2C" w:rsidP="00A03F2C">
      <w:pPr>
        <w:suppressAutoHyphens w:val="0"/>
        <w:spacing w:after="120"/>
        <w:jc w:val="both"/>
        <w:rPr>
          <w:rFonts w:eastAsia="Calibri"/>
        </w:rPr>
      </w:pPr>
      <w:r w:rsidRPr="00A03F2C">
        <w:t xml:space="preserve">Rostoucí objem spravovaných prostředků v účastnických fondech a dobrá finanční situace penzijních společností dávají prostor pro stanovení nižších úplat penzijních společností. Výše úplat, které penzijní </w:t>
      </w:r>
      <w:r w:rsidRPr="009D2306">
        <w:t xml:space="preserve">společnosti účtují účastníkům penzijních fondů, se často velmi blíží zákonem nastaveným limitům (tabulka </w:t>
      </w:r>
      <w:r w:rsidR="00522E8A" w:rsidRPr="009D2306">
        <w:t>4</w:t>
      </w:r>
      <w:r w:rsidRPr="009D2306">
        <w:t>). Dle studie</w:t>
      </w:r>
      <w:r w:rsidRPr="00A03F2C">
        <w:t xml:space="preserve"> poradenské společnosti EY zpracované pro Asociaci penzijních společností ČR (APS ČR)</w:t>
      </w:r>
      <w:r w:rsidRPr="00A03F2C">
        <w:rPr>
          <w:vertAlign w:val="superscript"/>
        </w:rPr>
        <w:footnoteReference w:id="2"/>
      </w:r>
      <w:r w:rsidRPr="00A03F2C">
        <w:t xml:space="preserve"> představuje </w:t>
      </w:r>
      <w:r w:rsidRPr="00A03F2C">
        <w:rPr>
          <w:rFonts w:eastAsia="Calibri"/>
        </w:rPr>
        <w:t>objem slev cca 6,9 % z maximálně možných účtovaných úplat, přičemž nejvyšší sleva je poskytována v konzervativních účastnických fondech (bez povinného konzervativního fondu), kdy penzijní společnosti reagují na poměrně vysokou maximální možnou úplatu vzhledem k rizikovému profilu a potenciálnímu výnosu konzervativnějších fondů. Přitom by bylo možné očekávat, že tržní mechanismy zajistí větší konkurenční boj v oblasti úplat i u dalších typů penzijních fondů a tedy přinesou i vyšší celkové zhodnocení pro účastníky. Výše úplat blížící se maximálním zákonným limitům</w:t>
      </w:r>
      <w:r w:rsidR="00722B0A">
        <w:rPr>
          <w:rFonts w:eastAsia="Calibri"/>
        </w:rPr>
        <w:t>, tedy absence konkurenčního boje v této oblasti,</w:t>
      </w:r>
      <w:r w:rsidRPr="00A03F2C">
        <w:rPr>
          <w:rFonts w:eastAsia="Calibri"/>
        </w:rPr>
        <w:t xml:space="preserve"> a</w:t>
      </w:r>
      <w:r w:rsidR="00722B0A">
        <w:rPr>
          <w:rFonts w:eastAsia="Calibri"/>
        </w:rPr>
        <w:t xml:space="preserve"> to i přes zvyšující se</w:t>
      </w:r>
      <w:r w:rsidRPr="00A03F2C">
        <w:rPr>
          <w:rFonts w:eastAsia="Calibri"/>
        </w:rPr>
        <w:t xml:space="preserve"> </w:t>
      </w:r>
      <w:r w:rsidRPr="00A03F2C">
        <w:t>úspory z rozsahu dosahované při správě rostoucího objemu prostředků</w:t>
      </w:r>
      <w:r w:rsidR="00FD7B16">
        <w:t>,</w:t>
      </w:r>
      <w:r w:rsidRPr="00A03F2C">
        <w:t xml:space="preserve"> tak </w:t>
      </w:r>
      <w:r w:rsidR="00722B0A">
        <w:t>dávají důvod po</w:t>
      </w:r>
      <w:r w:rsidRPr="00A03F2C">
        <w:t xml:space="preserve"> revizi zákonem stanovených maximálních limitů úplat.</w:t>
      </w:r>
    </w:p>
    <w:p w14:paraId="0E869F1D" w14:textId="77777777" w:rsidR="00A03F2C" w:rsidRPr="00A03F2C" w:rsidRDefault="00A03F2C" w:rsidP="00A03F2C">
      <w:pPr>
        <w:spacing w:before="80" w:after="120"/>
        <w:jc w:val="both"/>
        <w:rPr>
          <w:rFonts w:eastAsia="Calibri"/>
          <w:b/>
          <w:bCs/>
          <w:color w:val="4F81BD"/>
          <w:sz w:val="20"/>
          <w:szCs w:val="18"/>
        </w:rPr>
      </w:pPr>
      <w:bookmarkStart w:id="166" w:name="_Toc230006800"/>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4</w:t>
      </w:r>
      <w:r w:rsidRPr="00A03F2C">
        <w:rPr>
          <w:rFonts w:eastAsia="Calibri"/>
          <w:b/>
          <w:bCs/>
          <w:color w:val="4F81BD"/>
          <w:sz w:val="20"/>
          <w:szCs w:val="18"/>
        </w:rPr>
        <w:fldChar w:fldCharType="end"/>
      </w:r>
      <w:r w:rsidRPr="00A03F2C">
        <w:rPr>
          <w:rFonts w:eastAsia="Calibri"/>
          <w:b/>
          <w:bCs/>
          <w:color w:val="4F81BD"/>
          <w:sz w:val="20"/>
          <w:szCs w:val="18"/>
        </w:rPr>
        <w:t>: Maximální zákonné limity a celkové uplatňované úplaty penzijních společností</w:t>
      </w:r>
      <w:bookmarkEnd w:id="166"/>
      <w:r w:rsidRPr="00A03F2C">
        <w:rPr>
          <w:rFonts w:eastAsia="Calibri"/>
          <w:b/>
          <w:bCs/>
          <w:color w:val="4F81BD"/>
          <w:sz w:val="20"/>
          <w:szCs w:val="18"/>
        </w:rPr>
        <w:t xml:space="preserve"> </w:t>
      </w:r>
    </w:p>
    <w:tbl>
      <w:tblPr>
        <w:tblStyle w:val="Mkatabulky2"/>
        <w:tblW w:w="9069" w:type="dxa"/>
        <w:tblLook w:val="04A0" w:firstRow="1" w:lastRow="0" w:firstColumn="1" w:lastColumn="0" w:noHBand="0" w:noVBand="1"/>
      </w:tblPr>
      <w:tblGrid>
        <w:gridCol w:w="2041"/>
        <w:gridCol w:w="1757"/>
        <w:gridCol w:w="1757"/>
        <w:gridCol w:w="1757"/>
        <w:gridCol w:w="1757"/>
      </w:tblGrid>
      <w:tr w:rsidR="00A03F2C" w:rsidRPr="00A03F2C" w14:paraId="7D374E45" w14:textId="77777777" w:rsidTr="00A03F2C">
        <w:tc>
          <w:tcPr>
            <w:tcW w:w="2041" w:type="dxa"/>
            <w:shd w:val="clear" w:color="auto" w:fill="C6D9F1"/>
          </w:tcPr>
          <w:p w14:paraId="5D92DF7E" w14:textId="77777777" w:rsidR="00A03F2C" w:rsidRPr="00A03F2C" w:rsidRDefault="00A03F2C" w:rsidP="00A03F2C">
            <w:pPr>
              <w:suppressAutoHyphens w:val="0"/>
              <w:spacing w:after="120" w:line="240" w:lineRule="auto"/>
              <w:jc w:val="both"/>
              <w:rPr>
                <w:sz w:val="20"/>
                <w:szCs w:val="20"/>
              </w:rPr>
            </w:pPr>
          </w:p>
        </w:tc>
        <w:tc>
          <w:tcPr>
            <w:tcW w:w="1757" w:type="dxa"/>
            <w:shd w:val="clear" w:color="auto" w:fill="C6D9F1"/>
            <w:vAlign w:val="center"/>
          </w:tcPr>
          <w:p w14:paraId="6694DB4F" w14:textId="77777777" w:rsidR="00A03F2C" w:rsidRPr="00882F5E" w:rsidRDefault="00A03F2C" w:rsidP="00A03F2C">
            <w:pPr>
              <w:suppressAutoHyphens w:val="0"/>
              <w:spacing w:before="20" w:after="20" w:line="240" w:lineRule="auto"/>
              <w:jc w:val="center"/>
              <w:rPr>
                <w:b/>
                <w:sz w:val="20"/>
                <w:szCs w:val="20"/>
              </w:rPr>
            </w:pPr>
            <w:r w:rsidRPr="00882F5E">
              <w:rPr>
                <w:b/>
                <w:sz w:val="20"/>
                <w:szCs w:val="20"/>
              </w:rPr>
              <w:t>Maximální zákonný limit úplaty za obhospodařování</w:t>
            </w:r>
          </w:p>
        </w:tc>
        <w:tc>
          <w:tcPr>
            <w:tcW w:w="1757" w:type="dxa"/>
            <w:shd w:val="clear" w:color="auto" w:fill="C6D9F1"/>
            <w:vAlign w:val="center"/>
          </w:tcPr>
          <w:p w14:paraId="77AE4D2C" w14:textId="77777777" w:rsidR="00A03F2C" w:rsidRPr="00882F5E" w:rsidRDefault="00A03F2C" w:rsidP="00A03F2C">
            <w:pPr>
              <w:suppressAutoHyphens w:val="0"/>
              <w:spacing w:before="20" w:after="20" w:line="240" w:lineRule="auto"/>
              <w:jc w:val="center"/>
              <w:rPr>
                <w:b/>
                <w:sz w:val="20"/>
                <w:szCs w:val="20"/>
              </w:rPr>
            </w:pPr>
            <w:r w:rsidRPr="00882F5E">
              <w:rPr>
                <w:b/>
                <w:sz w:val="20"/>
                <w:szCs w:val="20"/>
              </w:rPr>
              <w:t>Skutečná výše úplaty za obhospodařování za celý trh</w:t>
            </w:r>
          </w:p>
        </w:tc>
        <w:tc>
          <w:tcPr>
            <w:tcW w:w="1757" w:type="dxa"/>
            <w:shd w:val="clear" w:color="auto" w:fill="C6D9F1"/>
            <w:vAlign w:val="center"/>
          </w:tcPr>
          <w:p w14:paraId="74D38B44" w14:textId="77777777" w:rsidR="00A03F2C" w:rsidRPr="00882F5E" w:rsidRDefault="00A03F2C" w:rsidP="00A03F2C">
            <w:pPr>
              <w:suppressAutoHyphens w:val="0"/>
              <w:spacing w:before="20" w:after="20" w:line="240" w:lineRule="auto"/>
              <w:jc w:val="center"/>
              <w:rPr>
                <w:b/>
                <w:sz w:val="20"/>
                <w:szCs w:val="20"/>
              </w:rPr>
            </w:pPr>
            <w:r w:rsidRPr="00882F5E">
              <w:rPr>
                <w:b/>
                <w:sz w:val="20"/>
                <w:szCs w:val="20"/>
              </w:rPr>
              <w:t>Maximální zákonný limit úplaty za zhodnocení</w:t>
            </w:r>
          </w:p>
        </w:tc>
        <w:tc>
          <w:tcPr>
            <w:tcW w:w="1757" w:type="dxa"/>
            <w:shd w:val="clear" w:color="auto" w:fill="C6D9F1"/>
            <w:vAlign w:val="center"/>
          </w:tcPr>
          <w:p w14:paraId="72929A53" w14:textId="77777777" w:rsidR="00A03F2C" w:rsidRPr="00882F5E" w:rsidRDefault="00A03F2C" w:rsidP="00A03F2C">
            <w:pPr>
              <w:suppressAutoHyphens w:val="0"/>
              <w:spacing w:before="20" w:after="20" w:line="240" w:lineRule="auto"/>
              <w:jc w:val="center"/>
              <w:rPr>
                <w:b/>
                <w:sz w:val="20"/>
                <w:szCs w:val="20"/>
              </w:rPr>
            </w:pPr>
            <w:r w:rsidRPr="00882F5E">
              <w:rPr>
                <w:b/>
                <w:sz w:val="20"/>
                <w:szCs w:val="20"/>
              </w:rPr>
              <w:t xml:space="preserve">Skutečná výše úplaty za zhodnocení za celý trh </w:t>
            </w:r>
          </w:p>
        </w:tc>
      </w:tr>
      <w:tr w:rsidR="00A03F2C" w:rsidRPr="00A03F2C" w14:paraId="78BA8403" w14:textId="77777777" w:rsidTr="00A03F2C">
        <w:tc>
          <w:tcPr>
            <w:tcW w:w="2041" w:type="dxa"/>
            <w:vAlign w:val="center"/>
          </w:tcPr>
          <w:p w14:paraId="4DC2B177" w14:textId="77777777" w:rsidR="00A03F2C" w:rsidRPr="00A03F2C" w:rsidRDefault="00A03F2C" w:rsidP="00A03F2C">
            <w:pPr>
              <w:suppressAutoHyphens w:val="0"/>
              <w:spacing w:before="20" w:after="20" w:line="240" w:lineRule="auto"/>
              <w:rPr>
                <w:sz w:val="20"/>
                <w:szCs w:val="20"/>
              </w:rPr>
            </w:pPr>
            <w:r w:rsidRPr="00A03F2C">
              <w:rPr>
                <w:sz w:val="20"/>
                <w:szCs w:val="20"/>
              </w:rPr>
              <w:t>Povinné konzervativní fondy (PKF)</w:t>
            </w:r>
          </w:p>
        </w:tc>
        <w:tc>
          <w:tcPr>
            <w:tcW w:w="1757" w:type="dxa"/>
            <w:vAlign w:val="center"/>
          </w:tcPr>
          <w:p w14:paraId="411EFA92"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0,40 %</w:t>
            </w:r>
          </w:p>
        </w:tc>
        <w:tc>
          <w:tcPr>
            <w:tcW w:w="1757" w:type="dxa"/>
            <w:vAlign w:val="center"/>
          </w:tcPr>
          <w:p w14:paraId="5C7F92CC"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0,39 %</w:t>
            </w:r>
          </w:p>
        </w:tc>
        <w:tc>
          <w:tcPr>
            <w:tcW w:w="1757" w:type="dxa"/>
            <w:vAlign w:val="center"/>
          </w:tcPr>
          <w:p w14:paraId="252F7B32"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10,00 %</w:t>
            </w:r>
          </w:p>
        </w:tc>
        <w:tc>
          <w:tcPr>
            <w:tcW w:w="1757" w:type="dxa"/>
            <w:vAlign w:val="center"/>
          </w:tcPr>
          <w:p w14:paraId="2995F3E6"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10,00 %</w:t>
            </w:r>
          </w:p>
        </w:tc>
      </w:tr>
      <w:tr w:rsidR="00A03F2C" w:rsidRPr="00A03F2C" w14:paraId="018C7ED7" w14:textId="77777777" w:rsidTr="00A03F2C">
        <w:tc>
          <w:tcPr>
            <w:tcW w:w="2041" w:type="dxa"/>
            <w:vAlign w:val="center"/>
          </w:tcPr>
          <w:p w14:paraId="26674F8B" w14:textId="77777777" w:rsidR="00A03F2C" w:rsidRPr="00A03F2C" w:rsidRDefault="00A03F2C" w:rsidP="00A03F2C">
            <w:pPr>
              <w:suppressAutoHyphens w:val="0"/>
              <w:spacing w:before="20" w:after="20" w:line="240" w:lineRule="auto"/>
              <w:rPr>
                <w:sz w:val="20"/>
                <w:szCs w:val="20"/>
              </w:rPr>
            </w:pPr>
            <w:r w:rsidRPr="00A03F2C">
              <w:rPr>
                <w:sz w:val="20"/>
                <w:szCs w:val="20"/>
              </w:rPr>
              <w:t>Konzervativní bez PKF</w:t>
            </w:r>
          </w:p>
        </w:tc>
        <w:tc>
          <w:tcPr>
            <w:tcW w:w="1757" w:type="dxa"/>
            <w:vAlign w:val="center"/>
          </w:tcPr>
          <w:p w14:paraId="64634310"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1,00 %</w:t>
            </w:r>
          </w:p>
        </w:tc>
        <w:tc>
          <w:tcPr>
            <w:tcW w:w="1757" w:type="dxa"/>
            <w:vAlign w:val="center"/>
          </w:tcPr>
          <w:p w14:paraId="4F10A629"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0,77 %</w:t>
            </w:r>
          </w:p>
        </w:tc>
        <w:tc>
          <w:tcPr>
            <w:tcW w:w="1757" w:type="dxa"/>
            <w:vAlign w:val="center"/>
          </w:tcPr>
          <w:p w14:paraId="4CC35B92"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15,00 %</w:t>
            </w:r>
          </w:p>
        </w:tc>
        <w:tc>
          <w:tcPr>
            <w:tcW w:w="1757" w:type="dxa"/>
            <w:vAlign w:val="center"/>
          </w:tcPr>
          <w:p w14:paraId="7D9CC05C"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13,89 %</w:t>
            </w:r>
          </w:p>
        </w:tc>
      </w:tr>
      <w:tr w:rsidR="00A03F2C" w:rsidRPr="00A03F2C" w14:paraId="682B163B" w14:textId="77777777" w:rsidTr="00A03F2C">
        <w:tc>
          <w:tcPr>
            <w:tcW w:w="2041" w:type="dxa"/>
            <w:vAlign w:val="center"/>
          </w:tcPr>
          <w:p w14:paraId="05EAA380" w14:textId="77777777" w:rsidR="00A03F2C" w:rsidRPr="00A03F2C" w:rsidRDefault="00A03F2C" w:rsidP="00A03F2C">
            <w:pPr>
              <w:suppressAutoHyphens w:val="0"/>
              <w:spacing w:before="20" w:after="20" w:line="240" w:lineRule="auto"/>
              <w:rPr>
                <w:sz w:val="20"/>
                <w:szCs w:val="20"/>
              </w:rPr>
            </w:pPr>
            <w:r w:rsidRPr="00A03F2C">
              <w:rPr>
                <w:sz w:val="20"/>
                <w:szCs w:val="20"/>
              </w:rPr>
              <w:t>Vyvážené fondy</w:t>
            </w:r>
          </w:p>
        </w:tc>
        <w:tc>
          <w:tcPr>
            <w:tcW w:w="1757" w:type="dxa"/>
            <w:vAlign w:val="center"/>
          </w:tcPr>
          <w:p w14:paraId="158F0B1E"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1,00 %</w:t>
            </w:r>
          </w:p>
        </w:tc>
        <w:tc>
          <w:tcPr>
            <w:tcW w:w="1757" w:type="dxa"/>
            <w:vAlign w:val="center"/>
          </w:tcPr>
          <w:p w14:paraId="2BAA43EA"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0,91 %</w:t>
            </w:r>
          </w:p>
        </w:tc>
        <w:tc>
          <w:tcPr>
            <w:tcW w:w="1757" w:type="dxa"/>
            <w:vAlign w:val="center"/>
          </w:tcPr>
          <w:p w14:paraId="3DFC438D"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15,00 %</w:t>
            </w:r>
          </w:p>
        </w:tc>
        <w:tc>
          <w:tcPr>
            <w:tcW w:w="1757" w:type="dxa"/>
            <w:vAlign w:val="center"/>
          </w:tcPr>
          <w:p w14:paraId="11B85895"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14,82 %</w:t>
            </w:r>
          </w:p>
        </w:tc>
      </w:tr>
      <w:tr w:rsidR="00A03F2C" w:rsidRPr="00A03F2C" w14:paraId="49B59D07" w14:textId="77777777" w:rsidTr="00A03F2C">
        <w:tc>
          <w:tcPr>
            <w:tcW w:w="2041" w:type="dxa"/>
            <w:vAlign w:val="center"/>
          </w:tcPr>
          <w:p w14:paraId="5800C7EC" w14:textId="77777777" w:rsidR="00A03F2C" w:rsidRPr="00A03F2C" w:rsidRDefault="00A03F2C" w:rsidP="00A03F2C">
            <w:pPr>
              <w:suppressAutoHyphens w:val="0"/>
              <w:spacing w:before="20" w:after="20" w:line="240" w:lineRule="auto"/>
              <w:rPr>
                <w:sz w:val="20"/>
                <w:szCs w:val="20"/>
              </w:rPr>
            </w:pPr>
            <w:r w:rsidRPr="00A03F2C">
              <w:rPr>
                <w:sz w:val="20"/>
                <w:szCs w:val="20"/>
              </w:rPr>
              <w:t>Dynamické fondy</w:t>
            </w:r>
          </w:p>
        </w:tc>
        <w:tc>
          <w:tcPr>
            <w:tcW w:w="1757" w:type="dxa"/>
            <w:vAlign w:val="center"/>
          </w:tcPr>
          <w:p w14:paraId="3102978E"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1,00 %</w:t>
            </w:r>
          </w:p>
        </w:tc>
        <w:tc>
          <w:tcPr>
            <w:tcW w:w="1757" w:type="dxa"/>
            <w:vAlign w:val="center"/>
          </w:tcPr>
          <w:p w14:paraId="4B7CEEDD"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0,90 %</w:t>
            </w:r>
          </w:p>
        </w:tc>
        <w:tc>
          <w:tcPr>
            <w:tcW w:w="1757" w:type="dxa"/>
            <w:vAlign w:val="center"/>
          </w:tcPr>
          <w:p w14:paraId="12E46AAE"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15,00 %</w:t>
            </w:r>
          </w:p>
        </w:tc>
        <w:tc>
          <w:tcPr>
            <w:tcW w:w="1757" w:type="dxa"/>
            <w:vAlign w:val="center"/>
          </w:tcPr>
          <w:p w14:paraId="5FDD593F" w14:textId="77777777" w:rsidR="00A03F2C" w:rsidRPr="00A03F2C" w:rsidRDefault="00A03F2C" w:rsidP="00A03F2C">
            <w:pPr>
              <w:suppressAutoHyphens w:val="0"/>
              <w:spacing w:before="20" w:after="20" w:line="240" w:lineRule="auto"/>
              <w:jc w:val="right"/>
              <w:rPr>
                <w:sz w:val="20"/>
                <w:szCs w:val="20"/>
              </w:rPr>
            </w:pPr>
            <w:r w:rsidRPr="00A03F2C">
              <w:rPr>
                <w:sz w:val="20"/>
                <w:szCs w:val="20"/>
              </w:rPr>
              <w:t>14,36 %</w:t>
            </w:r>
          </w:p>
        </w:tc>
      </w:tr>
    </w:tbl>
    <w:p w14:paraId="5755F8E6" w14:textId="77777777" w:rsidR="00A03F2C" w:rsidRPr="00A03F2C" w:rsidRDefault="00A03F2C" w:rsidP="00A03F2C">
      <w:pPr>
        <w:suppressAutoHyphens w:val="0"/>
        <w:spacing w:after="120" w:line="259" w:lineRule="auto"/>
        <w:jc w:val="right"/>
        <w:rPr>
          <w:rFonts w:eastAsia="Calibri"/>
          <w:sz w:val="18"/>
        </w:rPr>
      </w:pPr>
      <w:r w:rsidRPr="00A03F2C">
        <w:rPr>
          <w:rFonts w:eastAsia="Calibri"/>
          <w:sz w:val="18"/>
        </w:rPr>
        <w:t>Zdroj: EY: Srovnávací studie třetího důchodového pilíře</w:t>
      </w:r>
    </w:p>
    <w:p w14:paraId="183A63DA" w14:textId="191FE22A" w:rsidR="00A03F2C" w:rsidRPr="00A03F2C" w:rsidRDefault="00A03F2C" w:rsidP="00A03F2C">
      <w:pPr>
        <w:suppressAutoHyphens w:val="0"/>
        <w:spacing w:after="120"/>
        <w:jc w:val="both"/>
      </w:pPr>
      <w:r w:rsidRPr="00A03F2C">
        <w:lastRenderedPageBreak/>
        <w:t xml:space="preserve">Zhodnocení prostoru pro snížení úplat </w:t>
      </w:r>
      <w:r w:rsidR="00722B0A">
        <w:t>v kontextu</w:t>
      </w:r>
      <w:r w:rsidRPr="00A03F2C">
        <w:t xml:space="preserve"> dosahovaných úspor z rozsahu doporučovala OECD ve své zprávě z hodnocení penzijního systému </w:t>
      </w:r>
      <w:r w:rsidR="00AE45FE">
        <w:t>ČR včetně doplňkového penzijního systému</w:t>
      </w:r>
      <w:r w:rsidRPr="00A03F2C">
        <w:t xml:space="preserve"> z prosince 2020.</w:t>
      </w:r>
      <w:r w:rsidRPr="00A03F2C">
        <w:rPr>
          <w:vertAlign w:val="superscript"/>
        </w:rPr>
        <w:footnoteReference w:id="3"/>
      </w:r>
      <w:r w:rsidRPr="00A03F2C">
        <w:t xml:space="preserve"> Revizi maximálních limitů úplat rovněž doporučila st</w:t>
      </w:r>
      <w:r w:rsidR="00AE45FE">
        <w:t>udie Institutu pro demokracii a </w:t>
      </w:r>
      <w:r w:rsidRPr="00A03F2C">
        <w:t xml:space="preserve">ekonomickou analýzu (IDEA) při CERGE-EI </w:t>
      </w:r>
      <w:r w:rsidRPr="00A03F2C">
        <w:rPr>
          <w:i/>
        </w:rPr>
        <w:t>Klienti penzijních fondů v pasti nízkých výnosů a vysokých poplatků</w:t>
      </w:r>
      <w:r w:rsidRPr="00A03F2C">
        <w:rPr>
          <w:vertAlign w:val="superscript"/>
        </w:rPr>
        <w:footnoteReference w:id="4"/>
      </w:r>
      <w:r w:rsidRPr="00A03F2C">
        <w:t>, podle níž při zachování současného stavu hrozí, že úplaty připraví klienty penzijních fondů až o polovinu jejich výnosů, přičemž v případě dynamických účastnických fondů za poslední dekádu úplaty vymazaly 37 až 49 % celkových výnosů těchto fondů. Možná úprava limitů úplat byla představena i ze strany APS ČR, která dle doporučení společnosti EY spočívá ve snížení úplaty za zhodnocení v případě účastnických fondů (kromě alternativních a povinných konzervativních fondů) z 15 % na 10 % a ve snížení maximálního limitu úplaty za obhospodařování u transformovaných fondů z 0,8 % na 0,6 % vzhledem k tomu, že u dynamických účastnických fondů platí účastník díky jejich vyššímu zhodnocení více za úplatu za zhodnocení než z</w:t>
      </w:r>
      <w:r w:rsidR="00AE45FE">
        <w:t>a úplatu za obhospodařování a u </w:t>
      </w:r>
      <w:r w:rsidRPr="00A03F2C">
        <w:t>transformovaných fondů již nevznikají akviziční či marketingové náklady.</w:t>
      </w:r>
    </w:p>
    <w:p w14:paraId="131562F0" w14:textId="77777777" w:rsidR="00A03F2C" w:rsidRPr="00A03F2C" w:rsidRDefault="00A03F2C" w:rsidP="00A03F2C">
      <w:pPr>
        <w:suppressAutoHyphens w:val="0"/>
        <w:spacing w:after="120"/>
        <w:jc w:val="both"/>
      </w:pPr>
      <w:r w:rsidRPr="00A03F2C">
        <w:t>Vzhledem k vývoji objemu spravovaných prostředků v účastnických fondech a finanční situace penzijních společností a v souvislosti s výše uvedenými doporučeními na snížení úplat je na místě uvažovat o revizi zákonných limitů úplat. Při vymezení variant bylo vycházeno</w:t>
      </w:r>
      <w:r w:rsidR="00B67356">
        <w:t xml:space="preserve"> z Programového prohlášení vlády, </w:t>
      </w:r>
      <w:r w:rsidR="00B67356" w:rsidRPr="00E91DEC">
        <w:t>z konzultací s autory studie IDEA při CERGE-EI</w:t>
      </w:r>
      <w:r w:rsidR="00B67356" w:rsidRPr="00A03F2C">
        <w:t xml:space="preserve"> </w:t>
      </w:r>
      <w:r w:rsidR="00B67356">
        <w:t>a</w:t>
      </w:r>
      <w:r w:rsidR="00B67356" w:rsidRPr="00A03F2C">
        <w:t xml:space="preserve"> </w:t>
      </w:r>
      <w:r w:rsidRPr="00A03F2C">
        <w:t>z doporučení obsažených ve studii společnosti EY</w:t>
      </w:r>
      <w:r w:rsidRPr="00E91DEC">
        <w:t>.</w:t>
      </w:r>
      <w:r w:rsidRPr="00A03F2C">
        <w:t xml:space="preserve"> </w:t>
      </w:r>
    </w:p>
    <w:p w14:paraId="36814244" w14:textId="77777777" w:rsidR="00A03F2C" w:rsidRPr="00A03F2C" w:rsidRDefault="00A03F2C" w:rsidP="00A03F2C">
      <w:pPr>
        <w:keepNext/>
        <w:spacing w:after="120"/>
        <w:jc w:val="both"/>
        <w:rPr>
          <w:rFonts w:eastAsia="Calibri"/>
        </w:rPr>
      </w:pPr>
      <w:r w:rsidRPr="00A03F2C">
        <w:rPr>
          <w:rFonts w:eastAsia="Calibri"/>
        </w:rPr>
        <w:t>Jsou zvažovány 3 varianty řešení:</w:t>
      </w:r>
    </w:p>
    <w:p w14:paraId="17D80392" w14:textId="77777777" w:rsidR="00A03F2C" w:rsidRPr="00A03F2C" w:rsidRDefault="00A03F2C" w:rsidP="00A03F2C">
      <w:pPr>
        <w:numPr>
          <w:ilvl w:val="0"/>
          <w:numId w:val="44"/>
        </w:numPr>
        <w:suppressAutoHyphens w:val="0"/>
        <w:spacing w:after="120" w:line="259" w:lineRule="auto"/>
        <w:ind w:left="527" w:hanging="357"/>
        <w:jc w:val="both"/>
        <w:rPr>
          <w:rFonts w:eastAsia="Calibri"/>
        </w:rPr>
      </w:pPr>
      <w:r w:rsidRPr="00A03F2C">
        <w:rPr>
          <w:rFonts w:eastAsia="Calibri"/>
          <w:b/>
        </w:rPr>
        <w:t>Varianta 0</w:t>
      </w:r>
      <w:r w:rsidRPr="00A03F2C">
        <w:rPr>
          <w:rFonts w:eastAsia="Calibri"/>
        </w:rPr>
        <w:t>: Ponechání limitů úplat na stávající úrovni</w:t>
      </w:r>
    </w:p>
    <w:p w14:paraId="550DBBD9" w14:textId="77777777" w:rsidR="00A03F2C" w:rsidRPr="00A03F2C" w:rsidRDefault="00A03F2C" w:rsidP="00A03F2C">
      <w:pPr>
        <w:numPr>
          <w:ilvl w:val="0"/>
          <w:numId w:val="44"/>
        </w:numPr>
        <w:suppressAutoHyphens w:val="0"/>
        <w:spacing w:after="120" w:line="259" w:lineRule="auto"/>
        <w:ind w:left="527" w:hanging="357"/>
        <w:jc w:val="both"/>
        <w:rPr>
          <w:rFonts w:eastAsia="Calibri"/>
        </w:rPr>
      </w:pPr>
      <w:r w:rsidRPr="00A03F2C">
        <w:rPr>
          <w:rFonts w:eastAsia="Calibri"/>
          <w:b/>
        </w:rPr>
        <w:t>Varianta 1</w:t>
      </w:r>
      <w:r w:rsidRPr="00A03F2C">
        <w:rPr>
          <w:rFonts w:eastAsia="Calibri"/>
        </w:rPr>
        <w:t xml:space="preserve">: </w:t>
      </w:r>
      <w:r w:rsidR="00B67356">
        <w:rPr>
          <w:rFonts w:eastAsia="Calibri"/>
        </w:rPr>
        <w:t>Snížení</w:t>
      </w:r>
      <w:r w:rsidR="00B67356" w:rsidRPr="00A03F2C">
        <w:rPr>
          <w:rFonts w:eastAsia="Calibri"/>
        </w:rPr>
        <w:t xml:space="preserve"> </w:t>
      </w:r>
      <w:r w:rsidR="00B67356">
        <w:rPr>
          <w:rFonts w:eastAsia="Calibri"/>
        </w:rPr>
        <w:t xml:space="preserve">maximálního zákonného limitu </w:t>
      </w:r>
      <w:r w:rsidRPr="00A03F2C">
        <w:rPr>
          <w:rFonts w:eastAsia="Calibri"/>
        </w:rPr>
        <w:t xml:space="preserve">úplaty za obhospodařování na </w:t>
      </w:r>
      <w:r w:rsidR="006C2102">
        <w:rPr>
          <w:rFonts w:eastAsia="Calibri"/>
        </w:rPr>
        <w:t>0,5</w:t>
      </w:r>
      <w:r w:rsidRPr="00A03F2C">
        <w:rPr>
          <w:rFonts w:eastAsia="Calibri"/>
        </w:rPr>
        <w:t xml:space="preserve"> %</w:t>
      </w:r>
      <w:r w:rsidR="00B67356">
        <w:rPr>
          <w:rFonts w:eastAsia="Calibri"/>
        </w:rPr>
        <w:t xml:space="preserve"> </w:t>
      </w:r>
      <w:r w:rsidR="00474A69">
        <w:rPr>
          <w:rFonts w:eastAsia="Calibri"/>
        </w:rPr>
        <w:t>bez možnosti účtování</w:t>
      </w:r>
      <w:r w:rsidRPr="00A03F2C">
        <w:rPr>
          <w:rFonts w:eastAsia="Calibri"/>
        </w:rPr>
        <w:t xml:space="preserve"> úplaty za zhodnocení u všech fondů (kromě alternativních fondů)</w:t>
      </w:r>
    </w:p>
    <w:p w14:paraId="0AEC5C6F" w14:textId="71525EFE" w:rsidR="00A03F2C" w:rsidRPr="00A03F2C" w:rsidRDefault="00A03F2C" w:rsidP="00A03F2C">
      <w:pPr>
        <w:numPr>
          <w:ilvl w:val="0"/>
          <w:numId w:val="44"/>
        </w:numPr>
        <w:suppressAutoHyphens w:val="0"/>
        <w:spacing w:after="120" w:line="259" w:lineRule="auto"/>
        <w:ind w:left="527" w:hanging="357"/>
        <w:jc w:val="both"/>
        <w:rPr>
          <w:rFonts w:eastAsia="Calibri"/>
        </w:rPr>
      </w:pPr>
      <w:r w:rsidRPr="00A03F2C">
        <w:rPr>
          <w:rFonts w:eastAsia="Calibri"/>
          <w:b/>
        </w:rPr>
        <w:t>Varianta 2</w:t>
      </w:r>
      <w:r w:rsidRPr="00A03F2C">
        <w:rPr>
          <w:rFonts w:eastAsia="Calibri"/>
        </w:rPr>
        <w:t xml:space="preserve">: Snížení </w:t>
      </w:r>
      <w:r w:rsidR="00B67356">
        <w:rPr>
          <w:rFonts w:eastAsia="Calibri"/>
        </w:rPr>
        <w:t>maximálního zákonného limitu</w:t>
      </w:r>
      <w:r w:rsidR="00B67356" w:rsidRPr="00A03F2C">
        <w:rPr>
          <w:rFonts w:eastAsia="Calibri"/>
        </w:rPr>
        <w:t xml:space="preserve"> </w:t>
      </w:r>
      <w:r w:rsidR="00CF62D0">
        <w:rPr>
          <w:rFonts w:eastAsia="Calibri"/>
        </w:rPr>
        <w:t>úplaty za obhospodařování u </w:t>
      </w:r>
      <w:r w:rsidRPr="00A03F2C">
        <w:rPr>
          <w:rFonts w:eastAsia="Calibri"/>
        </w:rPr>
        <w:t xml:space="preserve">transformovaných fondů na 0,6 % a snížení </w:t>
      </w:r>
      <w:r w:rsidR="00B67356">
        <w:rPr>
          <w:rFonts w:eastAsia="Calibri"/>
        </w:rPr>
        <w:t>maximálního zákonného limitu</w:t>
      </w:r>
      <w:r w:rsidR="00B67356" w:rsidRPr="00A03F2C">
        <w:rPr>
          <w:rFonts w:eastAsia="Calibri"/>
        </w:rPr>
        <w:t xml:space="preserve"> </w:t>
      </w:r>
      <w:r w:rsidRPr="00A03F2C">
        <w:rPr>
          <w:rFonts w:eastAsia="Calibri"/>
        </w:rPr>
        <w:t>úplaty za zhodnocení u účastnických fondů (kromě alternativních a povinných konzervativních fondů) na 10 %</w:t>
      </w:r>
    </w:p>
    <w:p w14:paraId="28A2D7AE" w14:textId="77777777" w:rsidR="00A03F2C" w:rsidRPr="00A03F2C" w:rsidRDefault="00A03F2C" w:rsidP="00A03F2C">
      <w:pPr>
        <w:spacing w:before="80" w:after="120"/>
        <w:jc w:val="both"/>
        <w:rPr>
          <w:rFonts w:eastAsia="Calibri"/>
          <w:b/>
          <w:bCs/>
          <w:color w:val="4F81BD"/>
          <w:sz w:val="20"/>
          <w:szCs w:val="18"/>
        </w:rPr>
      </w:pPr>
      <w:bookmarkStart w:id="167" w:name="_Toc230006801"/>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7653B4">
        <w:rPr>
          <w:rFonts w:eastAsia="Calibri"/>
          <w:b/>
          <w:bCs/>
          <w:noProof/>
          <w:color w:val="4F81BD"/>
          <w:sz w:val="20"/>
          <w:szCs w:val="18"/>
        </w:rPr>
        <w:t>5</w:t>
      </w:r>
      <w:r w:rsidRPr="00A03F2C">
        <w:rPr>
          <w:rFonts w:eastAsia="Calibri"/>
          <w:b/>
          <w:bCs/>
          <w:color w:val="4F81BD"/>
          <w:sz w:val="20"/>
          <w:szCs w:val="18"/>
        </w:rPr>
        <w:fldChar w:fldCharType="end"/>
      </w:r>
      <w:r w:rsidRPr="00A03F2C">
        <w:rPr>
          <w:rFonts w:eastAsia="Calibri"/>
          <w:b/>
          <w:bCs/>
          <w:color w:val="4F81BD"/>
          <w:sz w:val="20"/>
          <w:szCs w:val="18"/>
        </w:rPr>
        <w:t>: Vymezené varianty úpravy limitů na úplatu penzijních společností</w:t>
      </w:r>
      <w:bookmarkEnd w:id="167"/>
    </w:p>
    <w:tbl>
      <w:tblPr>
        <w:tblStyle w:val="Mkatabulky2"/>
        <w:tblW w:w="9071" w:type="dxa"/>
        <w:tblLayout w:type="fixed"/>
        <w:tblLook w:val="04A0" w:firstRow="1" w:lastRow="0" w:firstColumn="1" w:lastColumn="0" w:noHBand="0" w:noVBand="1"/>
      </w:tblPr>
      <w:tblGrid>
        <w:gridCol w:w="3175"/>
        <w:gridCol w:w="1531"/>
        <w:gridCol w:w="1417"/>
        <w:gridCol w:w="1474"/>
        <w:gridCol w:w="1474"/>
      </w:tblGrid>
      <w:tr w:rsidR="00A03F2C" w:rsidRPr="00A03F2C" w14:paraId="4D26BB51" w14:textId="77777777" w:rsidTr="00A03F2C">
        <w:tc>
          <w:tcPr>
            <w:tcW w:w="3175" w:type="dxa"/>
            <w:shd w:val="clear" w:color="auto" w:fill="C6D9F1"/>
          </w:tcPr>
          <w:p w14:paraId="0A390163" w14:textId="77777777" w:rsidR="00A03F2C" w:rsidRPr="00A03F2C" w:rsidRDefault="00A03F2C" w:rsidP="00A03F2C">
            <w:pPr>
              <w:widowControl w:val="0"/>
              <w:suppressAutoHyphens w:val="0"/>
              <w:spacing w:before="60" w:after="60" w:line="240" w:lineRule="auto"/>
              <w:jc w:val="both"/>
              <w:rPr>
                <w:rFonts w:cs="Calibri"/>
                <w:b/>
                <w:sz w:val="19"/>
                <w:szCs w:val="19"/>
              </w:rPr>
            </w:pPr>
            <w:r w:rsidRPr="00A03F2C">
              <w:rPr>
                <w:rFonts w:cs="Calibri"/>
                <w:b/>
                <w:sz w:val="19"/>
                <w:szCs w:val="19"/>
              </w:rPr>
              <w:t>Úplata za</w:t>
            </w:r>
          </w:p>
          <w:p w14:paraId="47F6D7E8" w14:textId="77777777" w:rsidR="00A03F2C" w:rsidRPr="00A03F2C" w:rsidRDefault="00A03F2C" w:rsidP="00A03F2C">
            <w:pPr>
              <w:widowControl w:val="0"/>
              <w:suppressAutoHyphens w:val="0"/>
              <w:spacing w:before="60" w:after="60" w:line="240" w:lineRule="auto"/>
              <w:jc w:val="both"/>
              <w:rPr>
                <w:rFonts w:cs="Calibri"/>
                <w:b/>
                <w:sz w:val="19"/>
                <w:szCs w:val="19"/>
              </w:rPr>
            </w:pPr>
            <w:r w:rsidRPr="00A03F2C">
              <w:rPr>
                <w:rFonts w:cs="Calibri"/>
                <w:b/>
                <w:sz w:val="19"/>
                <w:szCs w:val="19"/>
              </w:rPr>
              <w:t>obhospodařování (první údaj)</w:t>
            </w:r>
          </w:p>
          <w:p w14:paraId="63C5A7CF" w14:textId="77777777" w:rsidR="00A03F2C" w:rsidRPr="00A03F2C" w:rsidRDefault="00A03F2C" w:rsidP="00A03F2C">
            <w:pPr>
              <w:widowControl w:val="0"/>
              <w:suppressAutoHyphens w:val="0"/>
              <w:spacing w:before="60" w:after="60" w:line="240" w:lineRule="auto"/>
              <w:jc w:val="both"/>
              <w:rPr>
                <w:rFonts w:cs="Calibri"/>
                <w:b/>
                <w:sz w:val="19"/>
                <w:szCs w:val="19"/>
              </w:rPr>
            </w:pPr>
            <w:r w:rsidRPr="00A03F2C">
              <w:rPr>
                <w:rFonts w:cs="Calibri"/>
                <w:b/>
                <w:sz w:val="19"/>
                <w:szCs w:val="19"/>
              </w:rPr>
              <w:t>Úplata za zhodnocení (druhý údaj)</w:t>
            </w:r>
          </w:p>
        </w:tc>
        <w:tc>
          <w:tcPr>
            <w:tcW w:w="1531" w:type="dxa"/>
            <w:shd w:val="clear" w:color="auto" w:fill="C6D9F1"/>
            <w:vAlign w:val="center"/>
          </w:tcPr>
          <w:p w14:paraId="30C3A9CF" w14:textId="77777777" w:rsidR="00A03F2C" w:rsidRPr="00A03F2C" w:rsidRDefault="00A03F2C" w:rsidP="00A03F2C">
            <w:pPr>
              <w:widowControl w:val="0"/>
              <w:suppressAutoHyphens w:val="0"/>
              <w:spacing w:before="60" w:after="60" w:line="240" w:lineRule="auto"/>
              <w:jc w:val="center"/>
              <w:rPr>
                <w:rFonts w:cs="Calibri"/>
                <w:b/>
                <w:sz w:val="19"/>
                <w:szCs w:val="19"/>
              </w:rPr>
            </w:pPr>
            <w:r w:rsidRPr="00A03F2C">
              <w:rPr>
                <w:rFonts w:cs="Calibri"/>
                <w:b/>
                <w:sz w:val="19"/>
                <w:szCs w:val="19"/>
              </w:rPr>
              <w:t>Transformované fondy</w:t>
            </w:r>
          </w:p>
        </w:tc>
        <w:tc>
          <w:tcPr>
            <w:tcW w:w="1417" w:type="dxa"/>
            <w:shd w:val="clear" w:color="auto" w:fill="C6D9F1"/>
            <w:vAlign w:val="center"/>
          </w:tcPr>
          <w:p w14:paraId="5D563C78" w14:textId="77777777" w:rsidR="00A03F2C" w:rsidRPr="00A03F2C" w:rsidRDefault="00A03F2C" w:rsidP="00A03F2C">
            <w:pPr>
              <w:widowControl w:val="0"/>
              <w:suppressAutoHyphens w:val="0"/>
              <w:spacing w:before="60" w:after="60" w:line="240" w:lineRule="auto"/>
              <w:jc w:val="center"/>
              <w:rPr>
                <w:rFonts w:cs="Calibri"/>
                <w:b/>
                <w:sz w:val="19"/>
                <w:szCs w:val="19"/>
              </w:rPr>
            </w:pPr>
            <w:r w:rsidRPr="00A03F2C">
              <w:rPr>
                <w:rFonts w:cs="Calibri"/>
                <w:b/>
                <w:sz w:val="19"/>
                <w:szCs w:val="19"/>
              </w:rPr>
              <w:t>Povinné konzervativní fondy</w:t>
            </w:r>
          </w:p>
        </w:tc>
        <w:tc>
          <w:tcPr>
            <w:tcW w:w="1474" w:type="dxa"/>
            <w:shd w:val="clear" w:color="auto" w:fill="C6D9F1"/>
            <w:vAlign w:val="center"/>
          </w:tcPr>
          <w:p w14:paraId="505AB25E" w14:textId="77777777" w:rsidR="00A03F2C" w:rsidRPr="00A03F2C" w:rsidRDefault="00A03F2C" w:rsidP="00A03F2C">
            <w:pPr>
              <w:widowControl w:val="0"/>
              <w:suppressAutoHyphens w:val="0"/>
              <w:spacing w:before="60" w:after="60" w:line="240" w:lineRule="auto"/>
              <w:jc w:val="center"/>
              <w:rPr>
                <w:rFonts w:cs="Calibri"/>
                <w:b/>
                <w:sz w:val="19"/>
                <w:szCs w:val="19"/>
              </w:rPr>
            </w:pPr>
            <w:r w:rsidRPr="00A03F2C">
              <w:rPr>
                <w:rFonts w:cs="Calibri"/>
                <w:b/>
                <w:sz w:val="19"/>
                <w:szCs w:val="19"/>
              </w:rPr>
              <w:t>Ostatní účastnické fondy (smíšené, dynamické)</w:t>
            </w:r>
          </w:p>
        </w:tc>
        <w:tc>
          <w:tcPr>
            <w:tcW w:w="1474" w:type="dxa"/>
            <w:shd w:val="clear" w:color="auto" w:fill="C6D9F1"/>
            <w:vAlign w:val="center"/>
          </w:tcPr>
          <w:p w14:paraId="427993C5" w14:textId="77777777" w:rsidR="00A03F2C" w:rsidRPr="00A03F2C" w:rsidRDefault="00A03F2C" w:rsidP="00A03F2C">
            <w:pPr>
              <w:widowControl w:val="0"/>
              <w:suppressAutoHyphens w:val="0"/>
              <w:spacing w:before="60" w:after="60" w:line="240" w:lineRule="auto"/>
              <w:jc w:val="center"/>
              <w:rPr>
                <w:rFonts w:cs="Calibri"/>
                <w:b/>
                <w:sz w:val="19"/>
                <w:szCs w:val="19"/>
              </w:rPr>
            </w:pPr>
            <w:r w:rsidRPr="00A03F2C">
              <w:rPr>
                <w:rFonts w:cs="Calibri"/>
                <w:b/>
                <w:sz w:val="19"/>
                <w:szCs w:val="19"/>
              </w:rPr>
              <w:t>Alternativní účastnické fondy</w:t>
            </w:r>
          </w:p>
        </w:tc>
      </w:tr>
      <w:tr w:rsidR="00A03F2C" w:rsidRPr="00A03F2C" w14:paraId="4F6266E1" w14:textId="77777777" w:rsidTr="00A03F2C">
        <w:tc>
          <w:tcPr>
            <w:tcW w:w="3175" w:type="dxa"/>
          </w:tcPr>
          <w:p w14:paraId="61ECE897" w14:textId="77777777" w:rsidR="00A03F2C" w:rsidRPr="0026376A" w:rsidRDefault="00A03F2C" w:rsidP="00A03F2C">
            <w:pPr>
              <w:widowControl w:val="0"/>
              <w:suppressAutoHyphens w:val="0"/>
              <w:spacing w:before="60" w:after="60" w:line="240" w:lineRule="auto"/>
              <w:rPr>
                <w:rFonts w:cs="Calibri"/>
                <w:sz w:val="20"/>
                <w:szCs w:val="19"/>
              </w:rPr>
            </w:pPr>
            <w:r w:rsidRPr="0026376A">
              <w:rPr>
                <w:rFonts w:cs="Calibri"/>
                <w:sz w:val="20"/>
                <w:szCs w:val="19"/>
              </w:rPr>
              <w:t>Varianta 0 (stávající stav)</w:t>
            </w:r>
          </w:p>
        </w:tc>
        <w:tc>
          <w:tcPr>
            <w:tcW w:w="1531" w:type="dxa"/>
            <w:vAlign w:val="center"/>
          </w:tcPr>
          <w:p w14:paraId="58A3E4B6"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0,8 %</w:t>
            </w:r>
          </w:p>
          <w:p w14:paraId="2289FDA0"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10 %</w:t>
            </w:r>
          </w:p>
        </w:tc>
        <w:tc>
          <w:tcPr>
            <w:tcW w:w="1417" w:type="dxa"/>
            <w:vAlign w:val="center"/>
          </w:tcPr>
          <w:p w14:paraId="22D39EFF"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0,4 %</w:t>
            </w:r>
          </w:p>
          <w:p w14:paraId="2B875522"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10 %</w:t>
            </w:r>
          </w:p>
        </w:tc>
        <w:tc>
          <w:tcPr>
            <w:tcW w:w="1474" w:type="dxa"/>
            <w:vAlign w:val="center"/>
          </w:tcPr>
          <w:p w14:paraId="01D9D18C"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1,0 %</w:t>
            </w:r>
          </w:p>
          <w:p w14:paraId="1C489352"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15 %</w:t>
            </w:r>
          </w:p>
        </w:tc>
        <w:tc>
          <w:tcPr>
            <w:tcW w:w="1474" w:type="dxa"/>
            <w:vAlign w:val="center"/>
          </w:tcPr>
          <w:p w14:paraId="274871C2"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2,5 %</w:t>
            </w:r>
          </w:p>
          <w:p w14:paraId="2140D61A" w14:textId="77777777" w:rsidR="00A03F2C" w:rsidRPr="006F235C" w:rsidRDefault="00A03F2C" w:rsidP="00A03F2C">
            <w:pPr>
              <w:widowControl w:val="0"/>
              <w:suppressAutoHyphens w:val="0"/>
              <w:spacing w:before="60" w:after="60" w:line="240" w:lineRule="auto"/>
              <w:jc w:val="center"/>
              <w:rPr>
                <w:rFonts w:cs="Calibri"/>
                <w:sz w:val="20"/>
                <w:szCs w:val="19"/>
              </w:rPr>
            </w:pPr>
            <w:r w:rsidRPr="006F235C">
              <w:rPr>
                <w:rFonts w:cs="Calibri"/>
                <w:sz w:val="20"/>
                <w:szCs w:val="19"/>
              </w:rPr>
              <w:t>25 %</w:t>
            </w:r>
          </w:p>
        </w:tc>
      </w:tr>
      <w:tr w:rsidR="00A03F2C" w:rsidRPr="00A03F2C" w14:paraId="6C2A4A27" w14:textId="77777777" w:rsidTr="00A03F2C">
        <w:tc>
          <w:tcPr>
            <w:tcW w:w="3175" w:type="dxa"/>
          </w:tcPr>
          <w:p w14:paraId="0D11B1DD" w14:textId="77777777" w:rsidR="00A03F2C" w:rsidRPr="0026376A" w:rsidRDefault="00A03F2C" w:rsidP="00A03F2C">
            <w:pPr>
              <w:widowControl w:val="0"/>
              <w:suppressAutoHyphens w:val="0"/>
              <w:spacing w:before="60" w:after="60" w:line="240" w:lineRule="auto"/>
              <w:rPr>
                <w:rFonts w:cs="Calibri"/>
                <w:sz w:val="20"/>
                <w:szCs w:val="19"/>
              </w:rPr>
            </w:pPr>
            <w:r w:rsidRPr="0026376A">
              <w:rPr>
                <w:rFonts w:cs="Calibri"/>
                <w:sz w:val="20"/>
                <w:szCs w:val="19"/>
              </w:rPr>
              <w:t xml:space="preserve">Varianta 1 </w:t>
            </w:r>
          </w:p>
        </w:tc>
        <w:tc>
          <w:tcPr>
            <w:tcW w:w="1531" w:type="dxa"/>
            <w:vAlign w:val="center"/>
          </w:tcPr>
          <w:p w14:paraId="7AE122E1"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0,5</w:t>
            </w:r>
            <w:r w:rsidR="00A03F2C" w:rsidRPr="006F235C">
              <w:rPr>
                <w:rFonts w:cs="Calibri"/>
                <w:sz w:val="20"/>
                <w:szCs w:val="19"/>
              </w:rPr>
              <w:t xml:space="preserve"> %</w:t>
            </w:r>
          </w:p>
          <w:p w14:paraId="2A040967"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w:t>
            </w:r>
            <w:r w:rsidR="00A03F2C" w:rsidRPr="006F235C">
              <w:rPr>
                <w:rFonts w:cs="Calibri"/>
                <w:sz w:val="20"/>
                <w:szCs w:val="19"/>
              </w:rPr>
              <w:t xml:space="preserve"> %</w:t>
            </w:r>
          </w:p>
        </w:tc>
        <w:tc>
          <w:tcPr>
            <w:tcW w:w="1417" w:type="dxa"/>
            <w:vAlign w:val="center"/>
          </w:tcPr>
          <w:p w14:paraId="77E96B0A"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0,5</w:t>
            </w:r>
            <w:r w:rsidR="00A03F2C" w:rsidRPr="006F235C">
              <w:rPr>
                <w:rFonts w:cs="Calibri"/>
                <w:sz w:val="20"/>
                <w:szCs w:val="19"/>
              </w:rPr>
              <w:t xml:space="preserve"> %</w:t>
            </w:r>
          </w:p>
          <w:p w14:paraId="50BC486E"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w:t>
            </w:r>
            <w:r w:rsidR="00A03F2C" w:rsidRPr="006F235C">
              <w:rPr>
                <w:rFonts w:cs="Calibri"/>
                <w:sz w:val="20"/>
                <w:szCs w:val="19"/>
              </w:rPr>
              <w:t xml:space="preserve"> %</w:t>
            </w:r>
          </w:p>
        </w:tc>
        <w:tc>
          <w:tcPr>
            <w:tcW w:w="1474" w:type="dxa"/>
            <w:vAlign w:val="center"/>
          </w:tcPr>
          <w:p w14:paraId="62339015"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0,5</w:t>
            </w:r>
            <w:r w:rsidR="00A03F2C" w:rsidRPr="006F235C">
              <w:rPr>
                <w:rFonts w:cs="Calibri"/>
                <w:sz w:val="20"/>
                <w:szCs w:val="19"/>
              </w:rPr>
              <w:t xml:space="preserve"> %</w:t>
            </w:r>
          </w:p>
          <w:p w14:paraId="6F2B5396" w14:textId="77777777" w:rsidR="00A03F2C" w:rsidRPr="006F235C" w:rsidRDefault="006C2102" w:rsidP="00A03F2C">
            <w:pPr>
              <w:widowControl w:val="0"/>
              <w:suppressAutoHyphens w:val="0"/>
              <w:spacing w:before="60" w:after="60" w:line="240" w:lineRule="auto"/>
              <w:jc w:val="center"/>
              <w:rPr>
                <w:rFonts w:cs="Calibri"/>
                <w:sz w:val="20"/>
                <w:szCs w:val="19"/>
              </w:rPr>
            </w:pPr>
            <w:r w:rsidRPr="006F235C">
              <w:rPr>
                <w:rFonts w:cs="Calibri"/>
                <w:sz w:val="20"/>
                <w:szCs w:val="19"/>
              </w:rPr>
              <w:t>0</w:t>
            </w:r>
            <w:r w:rsidR="00A03F2C" w:rsidRPr="006F235C">
              <w:rPr>
                <w:rFonts w:cs="Calibri"/>
                <w:sz w:val="20"/>
                <w:szCs w:val="19"/>
              </w:rPr>
              <w:t xml:space="preserve"> %</w:t>
            </w:r>
          </w:p>
        </w:tc>
        <w:tc>
          <w:tcPr>
            <w:tcW w:w="1474" w:type="dxa"/>
            <w:vAlign w:val="center"/>
          </w:tcPr>
          <w:p w14:paraId="6C329926" w14:textId="77777777" w:rsidR="00A03F2C" w:rsidRPr="00A03F2C" w:rsidRDefault="00A03F2C" w:rsidP="00A03F2C">
            <w:pPr>
              <w:widowControl w:val="0"/>
              <w:suppressAutoHyphens w:val="0"/>
              <w:spacing w:before="60" w:after="60" w:line="240" w:lineRule="auto"/>
              <w:jc w:val="center"/>
              <w:rPr>
                <w:rFonts w:cs="Calibri"/>
                <w:sz w:val="19"/>
                <w:szCs w:val="19"/>
              </w:rPr>
            </w:pPr>
            <w:r w:rsidRPr="0026376A">
              <w:rPr>
                <w:rFonts w:cs="Calibri"/>
                <w:sz w:val="20"/>
                <w:szCs w:val="19"/>
              </w:rPr>
              <w:t>beze změny</w:t>
            </w:r>
          </w:p>
        </w:tc>
      </w:tr>
      <w:tr w:rsidR="00A03F2C" w:rsidRPr="00A03F2C" w14:paraId="2C5F0067" w14:textId="77777777" w:rsidTr="00A03F2C">
        <w:tc>
          <w:tcPr>
            <w:tcW w:w="3175" w:type="dxa"/>
          </w:tcPr>
          <w:p w14:paraId="2D6BA40B" w14:textId="77777777" w:rsidR="00A03F2C" w:rsidRPr="0026376A" w:rsidRDefault="00A03F2C" w:rsidP="00A03F2C">
            <w:pPr>
              <w:widowControl w:val="0"/>
              <w:suppressAutoHyphens w:val="0"/>
              <w:spacing w:before="60" w:after="60" w:line="240" w:lineRule="auto"/>
              <w:rPr>
                <w:rFonts w:cs="Calibri"/>
                <w:sz w:val="20"/>
                <w:szCs w:val="19"/>
              </w:rPr>
            </w:pPr>
            <w:r w:rsidRPr="0026376A">
              <w:rPr>
                <w:rFonts w:cs="Calibri"/>
                <w:sz w:val="20"/>
                <w:szCs w:val="19"/>
              </w:rPr>
              <w:t>Varianta 2 (EY pro APS ČR)</w:t>
            </w:r>
          </w:p>
        </w:tc>
        <w:tc>
          <w:tcPr>
            <w:tcW w:w="1531" w:type="dxa"/>
            <w:tcBorders>
              <w:top w:val="nil"/>
              <w:left w:val="nil"/>
              <w:bottom w:val="single" w:sz="8" w:space="0" w:color="auto"/>
              <w:right w:val="single" w:sz="8" w:space="0" w:color="auto"/>
            </w:tcBorders>
            <w:vAlign w:val="center"/>
          </w:tcPr>
          <w:p w14:paraId="158106CD" w14:textId="77777777" w:rsidR="00A03F2C" w:rsidRPr="006F235C" w:rsidRDefault="00A03F2C" w:rsidP="00A03F2C">
            <w:pPr>
              <w:suppressAutoHyphens w:val="0"/>
              <w:spacing w:before="60" w:after="60" w:line="240" w:lineRule="auto"/>
              <w:jc w:val="center"/>
              <w:rPr>
                <w:rFonts w:cs="Calibri"/>
                <w:sz w:val="20"/>
                <w:szCs w:val="19"/>
              </w:rPr>
            </w:pPr>
            <w:r w:rsidRPr="006F235C">
              <w:rPr>
                <w:rFonts w:cs="Calibri"/>
                <w:sz w:val="20"/>
                <w:szCs w:val="19"/>
              </w:rPr>
              <w:t>0,6 %</w:t>
            </w:r>
          </w:p>
          <w:p w14:paraId="11EEA0EB" w14:textId="77777777" w:rsidR="00A03F2C" w:rsidRPr="00A03F2C" w:rsidRDefault="00A03F2C" w:rsidP="00A03F2C">
            <w:pPr>
              <w:suppressAutoHyphens w:val="0"/>
              <w:spacing w:before="60" w:after="60" w:line="240" w:lineRule="auto"/>
              <w:jc w:val="center"/>
              <w:rPr>
                <w:rFonts w:cs="Calibri"/>
                <w:sz w:val="19"/>
                <w:szCs w:val="19"/>
              </w:rPr>
            </w:pPr>
            <w:r w:rsidRPr="006F235C">
              <w:rPr>
                <w:rFonts w:cs="Calibri"/>
                <w:sz w:val="20"/>
                <w:szCs w:val="19"/>
              </w:rPr>
              <w:t>10 %</w:t>
            </w:r>
          </w:p>
        </w:tc>
        <w:tc>
          <w:tcPr>
            <w:tcW w:w="1417" w:type="dxa"/>
            <w:tcBorders>
              <w:top w:val="nil"/>
              <w:left w:val="nil"/>
              <w:bottom w:val="single" w:sz="8" w:space="0" w:color="auto"/>
              <w:right w:val="single" w:sz="8" w:space="0" w:color="auto"/>
            </w:tcBorders>
            <w:vAlign w:val="center"/>
          </w:tcPr>
          <w:p w14:paraId="0AA024ED" w14:textId="77777777" w:rsidR="00A03F2C" w:rsidRPr="00A03F2C" w:rsidRDefault="00A03F2C" w:rsidP="00A03F2C">
            <w:pPr>
              <w:suppressAutoHyphens w:val="0"/>
              <w:spacing w:before="60" w:after="60" w:line="240" w:lineRule="auto"/>
              <w:jc w:val="center"/>
              <w:rPr>
                <w:rFonts w:cs="Calibri"/>
                <w:b/>
                <w:sz w:val="19"/>
                <w:szCs w:val="19"/>
              </w:rPr>
            </w:pPr>
            <w:r w:rsidRPr="0026376A">
              <w:rPr>
                <w:rFonts w:cs="Calibri"/>
                <w:sz w:val="20"/>
                <w:szCs w:val="19"/>
              </w:rPr>
              <w:t>beze změny</w:t>
            </w:r>
          </w:p>
        </w:tc>
        <w:tc>
          <w:tcPr>
            <w:tcW w:w="1474" w:type="dxa"/>
            <w:tcBorders>
              <w:top w:val="nil"/>
              <w:left w:val="nil"/>
              <w:bottom w:val="single" w:sz="8" w:space="0" w:color="auto"/>
              <w:right w:val="single" w:sz="8" w:space="0" w:color="auto"/>
            </w:tcBorders>
            <w:vAlign w:val="center"/>
          </w:tcPr>
          <w:p w14:paraId="3CB54B80" w14:textId="77777777" w:rsidR="00A03F2C" w:rsidRPr="00A03F2C" w:rsidRDefault="00A03F2C" w:rsidP="00A03F2C">
            <w:pPr>
              <w:widowControl w:val="0"/>
              <w:suppressAutoHyphens w:val="0"/>
              <w:spacing w:before="60" w:after="60" w:line="240" w:lineRule="auto"/>
              <w:jc w:val="center"/>
              <w:rPr>
                <w:rFonts w:cs="Calibri"/>
                <w:sz w:val="19"/>
                <w:szCs w:val="19"/>
              </w:rPr>
            </w:pPr>
            <w:r w:rsidRPr="006F235C">
              <w:rPr>
                <w:rFonts w:cs="Calibri"/>
                <w:sz w:val="20"/>
                <w:szCs w:val="19"/>
              </w:rPr>
              <w:t>1,0 %</w:t>
            </w:r>
            <w:r w:rsidRPr="006F235C">
              <w:rPr>
                <w:rFonts w:cs="Calibri"/>
                <w:sz w:val="20"/>
                <w:szCs w:val="19"/>
              </w:rPr>
              <w:br/>
              <w:t>10 %</w:t>
            </w:r>
          </w:p>
        </w:tc>
        <w:tc>
          <w:tcPr>
            <w:tcW w:w="1474" w:type="dxa"/>
            <w:vAlign w:val="center"/>
          </w:tcPr>
          <w:p w14:paraId="121E3835" w14:textId="77777777" w:rsidR="00A03F2C" w:rsidRPr="00A03F2C" w:rsidRDefault="00A03F2C" w:rsidP="00A03F2C">
            <w:pPr>
              <w:widowControl w:val="0"/>
              <w:suppressAutoHyphens w:val="0"/>
              <w:spacing w:before="60" w:after="60" w:line="240" w:lineRule="auto"/>
              <w:jc w:val="center"/>
              <w:rPr>
                <w:rFonts w:cs="Calibri"/>
                <w:sz w:val="19"/>
                <w:szCs w:val="19"/>
              </w:rPr>
            </w:pPr>
            <w:r w:rsidRPr="0026376A">
              <w:rPr>
                <w:rFonts w:cs="Calibri"/>
                <w:sz w:val="20"/>
                <w:szCs w:val="19"/>
              </w:rPr>
              <w:t>beze změny</w:t>
            </w:r>
          </w:p>
        </w:tc>
      </w:tr>
    </w:tbl>
    <w:p w14:paraId="539F3D45" w14:textId="77777777" w:rsidR="00A03F2C" w:rsidRPr="00A03F2C" w:rsidRDefault="00A03F2C" w:rsidP="00A03F2C">
      <w:pPr>
        <w:keepNext/>
        <w:keepLines/>
        <w:pBdr>
          <w:bottom w:val="single" w:sz="12" w:space="1" w:color="auto"/>
        </w:pBdr>
        <w:shd w:val="clear" w:color="auto" w:fill="FFFFFF"/>
        <w:suppressAutoHyphens w:val="0"/>
        <w:spacing w:before="240" w:after="60"/>
        <w:outlineLvl w:val="4"/>
        <w:rPr>
          <w:b/>
          <w:sz w:val="24"/>
        </w:rPr>
      </w:pPr>
      <w:r w:rsidRPr="00A03F2C">
        <w:rPr>
          <w:b/>
          <w:sz w:val="24"/>
        </w:rPr>
        <w:lastRenderedPageBreak/>
        <w:t xml:space="preserve">B) </w:t>
      </w:r>
      <w:r w:rsidRPr="00A03F2C">
        <w:rPr>
          <w:b/>
          <w:caps/>
          <w:sz w:val="24"/>
        </w:rPr>
        <w:t>Popis variant a identifikace a vyhodnocení jejich nákladů a přínosů</w:t>
      </w:r>
    </w:p>
    <w:p w14:paraId="1EFE4F58" w14:textId="77777777" w:rsidR="00A03F2C" w:rsidRPr="00A03F2C" w:rsidRDefault="00A03F2C" w:rsidP="008D0578">
      <w:pPr>
        <w:keepNext/>
        <w:keepLines/>
        <w:spacing w:before="120" w:after="120"/>
        <w:jc w:val="both"/>
        <w:rPr>
          <w:b/>
          <w:color w:val="1F497D"/>
          <w:lang w:eastAsia="cs-CZ"/>
        </w:rPr>
      </w:pPr>
      <w:r w:rsidRPr="00A03F2C">
        <w:rPr>
          <w:rFonts w:cs="Calibri"/>
          <w:b/>
          <w:color w:val="1F497D"/>
          <w:lang w:eastAsia="cs-CZ"/>
        </w:rPr>
        <w:t>Varianta 0: Ponechání limitů úplat na stávající úrovni</w:t>
      </w:r>
    </w:p>
    <w:p w14:paraId="1D369D31" w14:textId="77777777" w:rsidR="00A03F2C" w:rsidRPr="00A03F2C" w:rsidRDefault="00A03F2C" w:rsidP="00A03F2C">
      <w:pPr>
        <w:keepNext/>
        <w:keepLines/>
        <w:spacing w:after="120"/>
        <w:jc w:val="both"/>
      </w:pPr>
      <w:r w:rsidRPr="00A03F2C">
        <w:t>V této variantě jsou ponechány limit</w:t>
      </w:r>
      <w:r w:rsidR="00945058">
        <w:t>y</w:t>
      </w:r>
      <w:r w:rsidRPr="00A03F2C">
        <w:t xml:space="preserve"> úplat na současné úrovni platné od konce roku 2015.</w:t>
      </w:r>
    </w:p>
    <w:p w14:paraId="53391972" w14:textId="77777777" w:rsidR="00A03F2C" w:rsidRPr="00A03F2C" w:rsidRDefault="00FD7B16" w:rsidP="00A03F2C">
      <w:pPr>
        <w:spacing w:after="120"/>
        <w:jc w:val="both"/>
        <w:rPr>
          <w:rFonts w:cs="Calibri"/>
          <w:b/>
          <w:color w:val="1F497D"/>
          <w:lang w:eastAsia="cs-CZ"/>
        </w:rPr>
      </w:pPr>
      <w:r>
        <w:rPr>
          <w:rFonts w:cs="Calibri"/>
          <w:b/>
          <w:color w:val="1F497D"/>
          <w:lang w:eastAsia="cs-CZ"/>
        </w:rPr>
        <w:t>Varianta 1: Snížení</w:t>
      </w:r>
      <w:r w:rsidR="00A03F2C" w:rsidRPr="00A03F2C">
        <w:rPr>
          <w:rFonts w:cs="Calibri"/>
          <w:b/>
          <w:color w:val="1F497D"/>
          <w:lang w:eastAsia="cs-CZ"/>
        </w:rPr>
        <w:t xml:space="preserve"> </w:t>
      </w:r>
      <w:r w:rsidR="00B67356" w:rsidRPr="00B67356">
        <w:rPr>
          <w:rFonts w:cs="Calibri"/>
          <w:b/>
          <w:color w:val="1F497D"/>
          <w:lang w:eastAsia="cs-CZ"/>
        </w:rPr>
        <w:t xml:space="preserve">maximálního zákonného limitu </w:t>
      </w:r>
      <w:r w:rsidR="00A03F2C" w:rsidRPr="00A03F2C">
        <w:rPr>
          <w:rFonts w:cs="Calibri"/>
          <w:b/>
          <w:color w:val="1F497D"/>
          <w:lang w:eastAsia="cs-CZ"/>
        </w:rPr>
        <w:t xml:space="preserve">úplaty za obhospodařování na </w:t>
      </w:r>
      <w:r w:rsidR="006C2102">
        <w:rPr>
          <w:rFonts w:cs="Calibri"/>
          <w:b/>
          <w:color w:val="1F497D"/>
          <w:lang w:eastAsia="cs-CZ"/>
        </w:rPr>
        <w:t>0,5</w:t>
      </w:r>
      <w:r w:rsidR="00A03F2C" w:rsidRPr="00A03F2C">
        <w:rPr>
          <w:rFonts w:cs="Calibri"/>
          <w:b/>
          <w:color w:val="1F497D"/>
          <w:lang w:eastAsia="cs-CZ"/>
        </w:rPr>
        <w:t xml:space="preserve"> % </w:t>
      </w:r>
      <w:r w:rsidR="00474A69">
        <w:rPr>
          <w:rFonts w:cs="Calibri"/>
          <w:b/>
          <w:color w:val="1F497D"/>
          <w:lang w:eastAsia="cs-CZ"/>
        </w:rPr>
        <w:t>bez možnosti účtování</w:t>
      </w:r>
      <w:r w:rsidR="00A03F2C" w:rsidRPr="00A03F2C">
        <w:rPr>
          <w:rFonts w:cs="Calibri"/>
          <w:b/>
          <w:color w:val="1F497D"/>
          <w:lang w:eastAsia="cs-CZ"/>
        </w:rPr>
        <w:t xml:space="preserve"> úplaty za zhodnocení u všech fondů</w:t>
      </w:r>
    </w:p>
    <w:p w14:paraId="5092108A" w14:textId="3B3E1EAE" w:rsidR="00A03F2C" w:rsidRPr="00A03F2C" w:rsidRDefault="00A03F2C" w:rsidP="00A03F2C">
      <w:pPr>
        <w:spacing w:after="120"/>
        <w:jc w:val="both"/>
      </w:pPr>
      <w:r w:rsidRPr="00E91DEC">
        <w:t>Parametry této varianty</w:t>
      </w:r>
      <w:r w:rsidR="0026376A">
        <w:t xml:space="preserve"> jsou </w:t>
      </w:r>
      <w:r w:rsidR="0026376A">
        <w:rPr>
          <w:rFonts w:cs="Calibri"/>
        </w:rPr>
        <w:t>st</w:t>
      </w:r>
      <w:r w:rsidR="000014AD">
        <w:rPr>
          <w:rFonts w:cs="Calibri"/>
        </w:rPr>
        <w:t>anoveny v souladu s prioritami v</w:t>
      </w:r>
      <w:r w:rsidR="0026376A">
        <w:rPr>
          <w:rFonts w:cs="Calibri"/>
        </w:rPr>
        <w:t xml:space="preserve">lády ČR cílícími na zatraktivnění a zefektivnění doplňkového penzijního systému a dále byly konzultovány s autory studie IDEA při CERGE-EI </w:t>
      </w:r>
      <w:r w:rsidR="0026376A">
        <w:rPr>
          <w:rFonts w:cs="Calibri"/>
          <w:i/>
          <w:iCs/>
        </w:rPr>
        <w:t>Klienti penzijních fondů v pasti nízkých výnosů a vysokých poplatků</w:t>
      </w:r>
      <w:r w:rsidRPr="00E91DEC">
        <w:t>.</w:t>
      </w:r>
      <w:r w:rsidRPr="00A03F2C">
        <w:rPr>
          <w:rFonts w:cs="Calibri"/>
          <w:b/>
          <w:color w:val="1F497D"/>
          <w:lang w:eastAsia="cs-CZ"/>
        </w:rPr>
        <w:t xml:space="preserve"> </w:t>
      </w:r>
      <w:r w:rsidR="0026376A">
        <w:t xml:space="preserve">V </w:t>
      </w:r>
      <w:r w:rsidRPr="00A03F2C">
        <w:t xml:space="preserve">této variantě je maximální limit úplaty za obhospodařování nastaven u všech fondů (kromě alternativních fondů) na </w:t>
      </w:r>
      <w:r w:rsidR="001217C8">
        <w:t>0,5</w:t>
      </w:r>
      <w:r w:rsidRPr="00A03F2C">
        <w:t xml:space="preserve"> %, což ve srovnání se současným stavem v případě povinných konzervativních fondů znamená zvýšení tohoto limitu o </w:t>
      </w:r>
      <w:r w:rsidR="002201F5">
        <w:t>0,1 p</w:t>
      </w:r>
      <w:r w:rsidRPr="00A03F2C">
        <w:t>. b.</w:t>
      </w:r>
      <w:r w:rsidR="002201F5">
        <w:t xml:space="preserve"> (o 25 %)</w:t>
      </w:r>
      <w:r w:rsidRPr="00A03F2C">
        <w:t xml:space="preserve">, u transformovaných fondů snížení o </w:t>
      </w:r>
      <w:r w:rsidR="002201F5">
        <w:t>0,3 p. b. (o 38 %)</w:t>
      </w:r>
      <w:r w:rsidR="0026376A">
        <w:t xml:space="preserve"> a u </w:t>
      </w:r>
      <w:r w:rsidRPr="00A03F2C">
        <w:t xml:space="preserve">ostatních účastnických fondů (kromě alternativních fondů) snížení </w:t>
      </w:r>
      <w:r w:rsidR="001217C8">
        <w:t>o</w:t>
      </w:r>
      <w:r w:rsidRPr="00A03F2C">
        <w:t xml:space="preserve"> </w:t>
      </w:r>
      <w:r w:rsidR="00FA29F6">
        <w:t>0,5 p. b.</w:t>
      </w:r>
      <w:r w:rsidR="002201F5">
        <w:t xml:space="preserve"> (o 50 %)</w:t>
      </w:r>
      <w:r w:rsidRPr="00A03F2C">
        <w:t xml:space="preserve">. </w:t>
      </w:r>
      <w:r w:rsidR="002201F5">
        <w:t xml:space="preserve">Co se týče </w:t>
      </w:r>
      <w:r w:rsidRPr="00A03F2C">
        <w:t>úplat</w:t>
      </w:r>
      <w:r w:rsidR="002201F5">
        <w:t>y</w:t>
      </w:r>
      <w:r w:rsidRPr="00A03F2C">
        <w:t xml:space="preserve"> za zhodnocení</w:t>
      </w:r>
      <w:r w:rsidR="00FC0444">
        <w:t>,</w:t>
      </w:r>
      <w:r w:rsidRPr="00A03F2C">
        <w:t xml:space="preserve"> </w:t>
      </w:r>
      <w:r w:rsidR="00834D78">
        <w:t xml:space="preserve">penzijní společnosti si tuto formu úplaty nebudou moci účtovat. </w:t>
      </w:r>
      <w:r w:rsidR="00CF62D0">
        <w:t>Limity úplat u </w:t>
      </w:r>
      <w:r w:rsidRPr="00A03F2C">
        <w:t>alternativních fondů zůstávají beze změny</w:t>
      </w:r>
      <w:r w:rsidR="009C341A">
        <w:t xml:space="preserve">, tak aby bylo nadále možné nabízet účastníkům </w:t>
      </w:r>
      <w:r w:rsidRPr="00A03F2C">
        <w:t xml:space="preserve">investice do private equity, nemovitostí nebo jiných netradičních aktiv, </w:t>
      </w:r>
      <w:r w:rsidR="009C341A" w:rsidRPr="00A03F2C">
        <w:t>kter</w:t>
      </w:r>
      <w:r w:rsidR="009C341A">
        <w:t>é</w:t>
      </w:r>
      <w:r w:rsidR="009C341A" w:rsidRPr="00A03F2C">
        <w:t xml:space="preserve"> </w:t>
      </w:r>
      <w:r w:rsidRPr="00A03F2C">
        <w:t>mají vyšší výnosový potenciál</w:t>
      </w:r>
      <w:r w:rsidR="009C341A">
        <w:t>, avšak jsou spojeny se značně vyššími náklady na straně správy aktiv</w:t>
      </w:r>
      <w:r w:rsidR="001F2EF9">
        <w:t>.</w:t>
      </w:r>
    </w:p>
    <w:p w14:paraId="0E916E14" w14:textId="77777777" w:rsidR="00A03F2C" w:rsidRPr="00A03F2C" w:rsidRDefault="00A03F2C" w:rsidP="00A03F2C">
      <w:pPr>
        <w:spacing w:after="120"/>
        <w:jc w:val="both"/>
        <w:rPr>
          <w:rFonts w:cs="Calibri"/>
          <w:b/>
          <w:color w:val="1F497D"/>
          <w:lang w:eastAsia="cs-CZ"/>
        </w:rPr>
      </w:pPr>
      <w:r w:rsidRPr="00A03F2C">
        <w:rPr>
          <w:rFonts w:cs="Calibri"/>
          <w:b/>
          <w:color w:val="1F497D"/>
          <w:lang w:eastAsia="cs-CZ"/>
        </w:rPr>
        <w:t xml:space="preserve">Varianta 2: Snížení </w:t>
      </w:r>
      <w:r w:rsidR="009C341A" w:rsidRPr="00B67356">
        <w:rPr>
          <w:rFonts w:cs="Calibri"/>
          <w:b/>
          <w:color w:val="1F497D"/>
          <w:lang w:eastAsia="cs-CZ"/>
        </w:rPr>
        <w:t xml:space="preserve">maximálního zákonného limitu </w:t>
      </w:r>
      <w:r w:rsidRPr="00A03F2C">
        <w:rPr>
          <w:rFonts w:cs="Calibri"/>
          <w:b/>
          <w:color w:val="1F497D"/>
          <w:lang w:eastAsia="cs-CZ"/>
        </w:rPr>
        <w:t xml:space="preserve">úplaty za obhospodařování u transformovaných fondů na 0,6 % a snížení </w:t>
      </w:r>
      <w:r w:rsidR="009C341A" w:rsidRPr="00B67356">
        <w:rPr>
          <w:rFonts w:cs="Calibri"/>
          <w:b/>
          <w:color w:val="1F497D"/>
          <w:lang w:eastAsia="cs-CZ"/>
        </w:rPr>
        <w:t xml:space="preserve">maximálního zákonného limitu </w:t>
      </w:r>
      <w:r w:rsidRPr="00A03F2C">
        <w:rPr>
          <w:rFonts w:cs="Calibri"/>
          <w:b/>
          <w:color w:val="1F497D"/>
          <w:lang w:eastAsia="cs-CZ"/>
        </w:rPr>
        <w:t>úplaty za zhodnocení u účastnických fondů (kromě alternativních a povinných konzervativních fondů) na 10 %</w:t>
      </w:r>
    </w:p>
    <w:p w14:paraId="7C38B6F9" w14:textId="42EF14ED" w:rsidR="00A03F2C" w:rsidRPr="00A03F2C" w:rsidRDefault="00A03F2C" w:rsidP="00A03F2C">
      <w:pPr>
        <w:spacing w:after="120"/>
        <w:jc w:val="both"/>
      </w:pPr>
      <w:r w:rsidRPr="00A03F2C">
        <w:t xml:space="preserve">Tato varianta následuje doporučení poradenské společnost EY ohledně úpravy limitů úplat uvedené ve studii zpracované pro APS ČR. V případě transformovaných fondů dochází oproti současnému stavu ke snížení limitu úplaty za obhospodařování o </w:t>
      </w:r>
      <w:r w:rsidR="00FC0444">
        <w:t xml:space="preserve">0,2 p. b. (o 25 %) na 0,6 % </w:t>
      </w:r>
      <w:r w:rsidRPr="00A03F2C">
        <w:t>a limit úplaty za zhodnocení zůstává beze změny. U povinných konzervativních fondů zůstávají limit</w:t>
      </w:r>
      <w:r w:rsidR="00F006AA">
        <w:t>y</w:t>
      </w:r>
      <w:r w:rsidRPr="00A03F2C">
        <w:t xml:space="preserve"> obou úplat na současných úrovních. U ostatních účastnických fondů (kromě alternativních fondů) je limit úplaty za zhodnocení snížen o </w:t>
      </w:r>
      <w:r w:rsidR="00FC0444">
        <w:t xml:space="preserve">5,0 p. b. (o 33 %) na 10 % </w:t>
      </w:r>
      <w:r w:rsidRPr="00A03F2C">
        <w:t>a limit úplaty za obhospodařování zůstává na současné úrovni. V rámci nastavení úplaty za zhodnocení je zachován „high watermark“ princip</w:t>
      </w:r>
      <w:r w:rsidR="00834D78" w:rsidRPr="00A03F2C">
        <w:rPr>
          <w:vertAlign w:val="superscript"/>
        </w:rPr>
        <w:footnoteReference w:id="5"/>
      </w:r>
      <w:r w:rsidR="00CF62D0">
        <w:t>. Limity úplat u </w:t>
      </w:r>
      <w:r w:rsidRPr="00A03F2C">
        <w:t>alternativních fondů zůstávají beze změny vzhledem k jejich nedávnému vzniku a značně nákladnější investiční strategii umožňující investice do private equity, nemovitostí nebo jiných netradičních aktiv, která mají vyšší výnosový potenciál.</w:t>
      </w:r>
      <w:r w:rsidR="00436B25">
        <w:t xml:space="preserve"> </w:t>
      </w:r>
    </w:p>
    <w:p w14:paraId="26D07A20" w14:textId="77777777" w:rsidR="00A03F2C" w:rsidRPr="00A03F2C" w:rsidRDefault="00A03F2C" w:rsidP="00A03F2C">
      <w:pPr>
        <w:spacing w:before="80" w:after="120"/>
        <w:jc w:val="both"/>
        <w:rPr>
          <w:rFonts w:eastAsia="Calibri"/>
          <w:b/>
          <w:color w:val="1F497D"/>
          <w:lang w:eastAsia="cs-CZ"/>
        </w:rPr>
      </w:pPr>
      <w:r w:rsidRPr="00A03F2C">
        <w:rPr>
          <w:rFonts w:eastAsia="Calibri"/>
          <w:b/>
          <w:color w:val="1F497D"/>
          <w:lang w:eastAsia="cs-CZ"/>
        </w:rPr>
        <w:t>Identifikace a vyhodnocení nákladů a přínosů jednotlivých variant</w:t>
      </w:r>
    </w:p>
    <w:p w14:paraId="26E9E748" w14:textId="52FCB1DC" w:rsidR="00A03F2C" w:rsidRPr="00A03F2C" w:rsidRDefault="00A03F2C" w:rsidP="00A03F2C">
      <w:pPr>
        <w:suppressAutoHyphens w:val="0"/>
        <w:spacing w:after="120"/>
        <w:jc w:val="both"/>
        <w:rPr>
          <w:rFonts w:eastAsia="Calibri"/>
        </w:rPr>
      </w:pPr>
      <w:r w:rsidRPr="00A03F2C">
        <w:t>Hlavním přínosem snížení limitů úplat účtovaných penzijními společnostmi je zvýšení konečné naspořené částky účastníků. Dopad nastavení úplat na výši konečné naspořené částky je různý v závislosti na dosahovaném zhodnocení penzijních fondů a dél</w:t>
      </w:r>
      <w:r w:rsidR="008C541B">
        <w:t>ce</w:t>
      </w:r>
      <w:r w:rsidRPr="00A03F2C">
        <w:t xml:space="preserve"> doby spoření. </w:t>
      </w:r>
      <w:r w:rsidRPr="00A03F2C">
        <w:rPr>
          <w:rFonts w:eastAsia="Calibri"/>
        </w:rPr>
        <w:t xml:space="preserve">Rozdíl mezi naspořenou částkou bez započtení úplat a konečnou naspořenou částkou sníženou o úplaty se zvyšuje spolu s vyšším výnosem penzijního fondu a delší dobou spoření. V případně dynamických fondů s předpokládaným dlouhodobým průměrným ročním hrubým výnosem na úrovni 7,5 % snižují úplaty při jejich současném nastavení naspořenou částku na horizontu 40 let o téměř 41 %. Výrazné snížení naspořené částky po zohlednění úplat lze rovněž pozorovat u vyvážených fondů, a to o přibližně 30 % </w:t>
      </w:r>
      <w:r w:rsidRPr="009D2306">
        <w:t xml:space="preserve">(tabulka </w:t>
      </w:r>
      <w:r w:rsidR="00522E8A" w:rsidRPr="009D2306">
        <w:t>6</w:t>
      </w:r>
      <w:r w:rsidRPr="009D2306">
        <w:t>).</w:t>
      </w:r>
    </w:p>
    <w:p w14:paraId="765A7DD5" w14:textId="77777777" w:rsidR="00A03F2C" w:rsidRPr="00A03F2C" w:rsidRDefault="00A03F2C" w:rsidP="00A03F2C">
      <w:pPr>
        <w:keepNext/>
        <w:suppressAutoHyphens w:val="0"/>
        <w:spacing w:line="240" w:lineRule="auto"/>
        <w:rPr>
          <w:rFonts w:eastAsia="Calibri"/>
          <w:b/>
          <w:bCs/>
          <w:color w:val="4F81BD"/>
          <w:sz w:val="20"/>
          <w:szCs w:val="18"/>
        </w:rPr>
      </w:pPr>
      <w:bookmarkStart w:id="168" w:name="_Toc230006802"/>
      <w:r w:rsidRPr="00A03F2C">
        <w:rPr>
          <w:rFonts w:eastAsia="Calibri"/>
          <w:b/>
          <w:bCs/>
          <w:color w:val="4F81BD"/>
          <w:sz w:val="20"/>
          <w:szCs w:val="18"/>
        </w:rPr>
        <w:lastRenderedPageBreak/>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522E8A">
        <w:rPr>
          <w:rFonts w:eastAsia="Calibri"/>
          <w:b/>
          <w:bCs/>
          <w:noProof/>
          <w:color w:val="4F81BD"/>
          <w:sz w:val="20"/>
          <w:szCs w:val="18"/>
        </w:rPr>
        <w:t>6</w:t>
      </w:r>
      <w:r w:rsidRPr="00A03F2C">
        <w:rPr>
          <w:rFonts w:eastAsia="Calibri"/>
          <w:b/>
          <w:bCs/>
          <w:color w:val="4F81BD"/>
          <w:sz w:val="20"/>
          <w:szCs w:val="18"/>
        </w:rPr>
        <w:fldChar w:fldCharType="end"/>
      </w:r>
      <w:r w:rsidRPr="00A03F2C">
        <w:rPr>
          <w:rFonts w:eastAsia="Calibri"/>
          <w:b/>
          <w:bCs/>
          <w:color w:val="4F81BD"/>
          <w:sz w:val="20"/>
          <w:szCs w:val="18"/>
        </w:rPr>
        <w:t>: Vliv nastavení úplat v jednotlivých variantách na snížení konečné naspořené částky</w:t>
      </w:r>
      <w:bookmarkEnd w:id="168"/>
    </w:p>
    <w:tbl>
      <w:tblPr>
        <w:tblStyle w:val="Mkatabulky2"/>
        <w:tblW w:w="9070" w:type="dxa"/>
        <w:tblLook w:val="04A0" w:firstRow="1" w:lastRow="0" w:firstColumn="1" w:lastColumn="0" w:noHBand="0" w:noVBand="1"/>
      </w:tblPr>
      <w:tblGrid>
        <w:gridCol w:w="1077"/>
        <w:gridCol w:w="1020"/>
        <w:gridCol w:w="1984"/>
        <w:gridCol w:w="1871"/>
        <w:gridCol w:w="1474"/>
        <w:gridCol w:w="1644"/>
      </w:tblGrid>
      <w:tr w:rsidR="00A03F2C" w:rsidRPr="00A03F2C" w14:paraId="424839BB" w14:textId="77777777" w:rsidTr="009B30FB">
        <w:tc>
          <w:tcPr>
            <w:tcW w:w="1077" w:type="dxa"/>
            <w:shd w:val="clear" w:color="auto" w:fill="C6D9F1"/>
            <w:vAlign w:val="center"/>
          </w:tcPr>
          <w:p w14:paraId="089A5BEE" w14:textId="77777777" w:rsidR="00A03F2C" w:rsidRPr="009B30FB" w:rsidRDefault="00A03F2C" w:rsidP="00A03F2C">
            <w:pPr>
              <w:spacing w:after="0"/>
              <w:jc w:val="center"/>
              <w:rPr>
                <w:b/>
                <w:sz w:val="20"/>
                <w:szCs w:val="19"/>
              </w:rPr>
            </w:pPr>
            <w:r w:rsidRPr="009B30FB">
              <w:rPr>
                <w:b/>
                <w:sz w:val="20"/>
                <w:szCs w:val="19"/>
              </w:rPr>
              <w:t>Varianta</w:t>
            </w:r>
          </w:p>
        </w:tc>
        <w:tc>
          <w:tcPr>
            <w:tcW w:w="1020" w:type="dxa"/>
            <w:shd w:val="clear" w:color="auto" w:fill="C6D9F1"/>
            <w:vAlign w:val="center"/>
          </w:tcPr>
          <w:p w14:paraId="24C55D34" w14:textId="77777777" w:rsidR="00A03F2C" w:rsidRPr="009B30FB" w:rsidRDefault="00A03F2C" w:rsidP="00A03F2C">
            <w:pPr>
              <w:spacing w:after="0"/>
              <w:jc w:val="center"/>
              <w:rPr>
                <w:b/>
                <w:sz w:val="20"/>
                <w:szCs w:val="19"/>
              </w:rPr>
            </w:pPr>
            <w:r w:rsidRPr="009B30FB">
              <w:rPr>
                <w:b/>
                <w:sz w:val="20"/>
                <w:szCs w:val="19"/>
              </w:rPr>
              <w:t>Doba spoření</w:t>
            </w:r>
          </w:p>
        </w:tc>
        <w:tc>
          <w:tcPr>
            <w:tcW w:w="1984" w:type="dxa"/>
            <w:shd w:val="clear" w:color="auto" w:fill="C6D9F1"/>
            <w:vAlign w:val="center"/>
          </w:tcPr>
          <w:p w14:paraId="42956005" w14:textId="77777777" w:rsidR="00A03F2C" w:rsidRPr="009B30FB" w:rsidRDefault="00A03F2C" w:rsidP="00A03F2C">
            <w:pPr>
              <w:spacing w:after="0"/>
              <w:jc w:val="center"/>
              <w:rPr>
                <w:b/>
                <w:sz w:val="20"/>
                <w:szCs w:val="19"/>
              </w:rPr>
            </w:pPr>
            <w:r w:rsidRPr="009B30FB">
              <w:rPr>
                <w:b/>
                <w:sz w:val="20"/>
                <w:szCs w:val="19"/>
              </w:rPr>
              <w:t>Transformované fondy</w:t>
            </w:r>
          </w:p>
          <w:p w14:paraId="77916845" w14:textId="77777777" w:rsidR="00A03F2C" w:rsidRPr="009B30FB" w:rsidRDefault="00A03F2C" w:rsidP="00A03F2C">
            <w:pPr>
              <w:spacing w:after="0"/>
              <w:jc w:val="center"/>
              <w:rPr>
                <w:b/>
                <w:sz w:val="20"/>
                <w:szCs w:val="19"/>
              </w:rPr>
            </w:pPr>
            <w:r w:rsidRPr="009B30FB">
              <w:rPr>
                <w:b/>
                <w:sz w:val="20"/>
                <w:szCs w:val="19"/>
              </w:rPr>
              <w:t>(2,5 %)</w:t>
            </w:r>
          </w:p>
        </w:tc>
        <w:tc>
          <w:tcPr>
            <w:tcW w:w="1871" w:type="dxa"/>
            <w:shd w:val="clear" w:color="auto" w:fill="C6D9F1"/>
            <w:vAlign w:val="center"/>
          </w:tcPr>
          <w:p w14:paraId="205A11B5" w14:textId="77777777" w:rsidR="00A03F2C" w:rsidRPr="009B30FB" w:rsidRDefault="00A03F2C" w:rsidP="00A03F2C">
            <w:pPr>
              <w:spacing w:after="0"/>
              <w:jc w:val="center"/>
              <w:rPr>
                <w:b/>
                <w:sz w:val="20"/>
                <w:szCs w:val="19"/>
              </w:rPr>
            </w:pPr>
            <w:r w:rsidRPr="009B30FB">
              <w:rPr>
                <w:b/>
                <w:sz w:val="20"/>
                <w:szCs w:val="19"/>
              </w:rPr>
              <w:t>Povinné konzervativní fondy</w:t>
            </w:r>
          </w:p>
          <w:p w14:paraId="3A66234C" w14:textId="77777777" w:rsidR="00A03F2C" w:rsidRPr="009B30FB" w:rsidRDefault="00A03F2C" w:rsidP="00A03F2C">
            <w:pPr>
              <w:spacing w:after="0"/>
              <w:jc w:val="center"/>
              <w:rPr>
                <w:b/>
                <w:sz w:val="20"/>
                <w:szCs w:val="19"/>
              </w:rPr>
            </w:pPr>
            <w:r w:rsidRPr="009B30FB">
              <w:rPr>
                <w:b/>
                <w:sz w:val="20"/>
                <w:szCs w:val="19"/>
              </w:rPr>
              <w:t>(2,5 %)</w:t>
            </w:r>
          </w:p>
        </w:tc>
        <w:tc>
          <w:tcPr>
            <w:tcW w:w="1474" w:type="dxa"/>
            <w:shd w:val="clear" w:color="auto" w:fill="C6D9F1"/>
            <w:vAlign w:val="center"/>
          </w:tcPr>
          <w:p w14:paraId="7B64EC94" w14:textId="77777777" w:rsidR="00A03F2C" w:rsidRPr="009B30FB" w:rsidRDefault="00A03F2C" w:rsidP="00A03F2C">
            <w:pPr>
              <w:spacing w:after="0"/>
              <w:jc w:val="center"/>
              <w:rPr>
                <w:b/>
                <w:sz w:val="20"/>
                <w:szCs w:val="19"/>
              </w:rPr>
            </w:pPr>
            <w:r w:rsidRPr="009B30FB">
              <w:rPr>
                <w:b/>
                <w:sz w:val="20"/>
                <w:szCs w:val="19"/>
              </w:rPr>
              <w:t>Vyvážené fondy</w:t>
            </w:r>
          </w:p>
          <w:p w14:paraId="69D4DF07" w14:textId="77777777" w:rsidR="00A03F2C" w:rsidRPr="009B30FB" w:rsidRDefault="00A03F2C" w:rsidP="00A03F2C">
            <w:pPr>
              <w:spacing w:after="0"/>
              <w:jc w:val="center"/>
              <w:rPr>
                <w:b/>
                <w:sz w:val="20"/>
                <w:szCs w:val="19"/>
              </w:rPr>
            </w:pPr>
            <w:r w:rsidRPr="009B30FB">
              <w:rPr>
                <w:b/>
                <w:sz w:val="20"/>
                <w:szCs w:val="19"/>
              </w:rPr>
              <w:t>(4,5 %)</w:t>
            </w:r>
          </w:p>
        </w:tc>
        <w:tc>
          <w:tcPr>
            <w:tcW w:w="1644" w:type="dxa"/>
            <w:shd w:val="clear" w:color="auto" w:fill="C6D9F1"/>
            <w:vAlign w:val="center"/>
          </w:tcPr>
          <w:p w14:paraId="267CF3B9" w14:textId="77777777" w:rsidR="00A03F2C" w:rsidRPr="009B30FB" w:rsidRDefault="00A03F2C" w:rsidP="00A03F2C">
            <w:pPr>
              <w:spacing w:after="0"/>
              <w:jc w:val="center"/>
              <w:rPr>
                <w:b/>
                <w:sz w:val="20"/>
                <w:szCs w:val="19"/>
              </w:rPr>
            </w:pPr>
            <w:r w:rsidRPr="009B30FB">
              <w:rPr>
                <w:b/>
                <w:sz w:val="20"/>
                <w:szCs w:val="19"/>
              </w:rPr>
              <w:t>Dynamické fondy</w:t>
            </w:r>
          </w:p>
          <w:p w14:paraId="229ED46E" w14:textId="77777777" w:rsidR="00A03F2C" w:rsidRPr="009B30FB" w:rsidRDefault="00A03F2C" w:rsidP="00A03F2C">
            <w:pPr>
              <w:spacing w:after="0"/>
              <w:jc w:val="center"/>
              <w:rPr>
                <w:b/>
                <w:sz w:val="20"/>
                <w:szCs w:val="19"/>
              </w:rPr>
            </w:pPr>
            <w:r w:rsidRPr="009B30FB">
              <w:rPr>
                <w:b/>
                <w:sz w:val="20"/>
                <w:szCs w:val="19"/>
              </w:rPr>
              <w:t>(7,5 %)</w:t>
            </w:r>
          </w:p>
        </w:tc>
      </w:tr>
      <w:tr w:rsidR="00A03F2C" w:rsidRPr="00A03F2C" w14:paraId="5AE0B322" w14:textId="77777777" w:rsidTr="009B30FB">
        <w:tc>
          <w:tcPr>
            <w:tcW w:w="1077" w:type="dxa"/>
            <w:vMerge w:val="restart"/>
            <w:vAlign w:val="center"/>
          </w:tcPr>
          <w:p w14:paraId="67DB967E" w14:textId="77777777" w:rsidR="00A03F2C" w:rsidRPr="0026376A" w:rsidRDefault="00A03F2C" w:rsidP="00A03F2C">
            <w:pPr>
              <w:spacing w:before="20" w:after="20"/>
              <w:rPr>
                <w:sz w:val="20"/>
                <w:szCs w:val="19"/>
              </w:rPr>
            </w:pPr>
            <w:r w:rsidRPr="0026376A">
              <w:rPr>
                <w:sz w:val="20"/>
                <w:szCs w:val="19"/>
              </w:rPr>
              <w:t>Varianta 0</w:t>
            </w:r>
          </w:p>
        </w:tc>
        <w:tc>
          <w:tcPr>
            <w:tcW w:w="1020" w:type="dxa"/>
            <w:vAlign w:val="center"/>
          </w:tcPr>
          <w:p w14:paraId="6E295EA0" w14:textId="77777777" w:rsidR="00A03F2C" w:rsidRPr="0026376A" w:rsidRDefault="00A03F2C" w:rsidP="00A03F2C">
            <w:pPr>
              <w:spacing w:before="20" w:after="20"/>
              <w:jc w:val="right"/>
              <w:rPr>
                <w:sz w:val="20"/>
                <w:szCs w:val="19"/>
              </w:rPr>
            </w:pPr>
            <w:r w:rsidRPr="0026376A">
              <w:rPr>
                <w:sz w:val="20"/>
                <w:szCs w:val="19"/>
              </w:rPr>
              <w:t>30 let</w:t>
            </w:r>
          </w:p>
        </w:tc>
        <w:tc>
          <w:tcPr>
            <w:tcW w:w="1984" w:type="dxa"/>
            <w:vAlign w:val="center"/>
          </w:tcPr>
          <w:p w14:paraId="44200DD2" w14:textId="77777777" w:rsidR="00A03F2C" w:rsidRPr="006F235C" w:rsidRDefault="00A03F2C" w:rsidP="00A03F2C">
            <w:pPr>
              <w:spacing w:before="20" w:after="20"/>
              <w:jc w:val="right"/>
              <w:rPr>
                <w:sz w:val="20"/>
                <w:szCs w:val="19"/>
              </w:rPr>
            </w:pPr>
            <w:r w:rsidRPr="006F235C">
              <w:rPr>
                <w:sz w:val="20"/>
                <w:szCs w:val="19"/>
              </w:rPr>
              <w:t>-14,3 %</w:t>
            </w:r>
          </w:p>
        </w:tc>
        <w:tc>
          <w:tcPr>
            <w:tcW w:w="1871" w:type="dxa"/>
            <w:vAlign w:val="center"/>
          </w:tcPr>
          <w:p w14:paraId="1CBF0822" w14:textId="77777777" w:rsidR="00A03F2C" w:rsidRPr="006F235C" w:rsidRDefault="00A03F2C" w:rsidP="00A03F2C">
            <w:pPr>
              <w:spacing w:before="20" w:after="20"/>
              <w:jc w:val="right"/>
              <w:rPr>
                <w:sz w:val="20"/>
                <w:szCs w:val="19"/>
              </w:rPr>
            </w:pPr>
            <w:r w:rsidRPr="006F235C">
              <w:rPr>
                <w:sz w:val="20"/>
                <w:szCs w:val="19"/>
              </w:rPr>
              <w:t>- 9,2 %</w:t>
            </w:r>
          </w:p>
        </w:tc>
        <w:tc>
          <w:tcPr>
            <w:tcW w:w="1474" w:type="dxa"/>
            <w:vAlign w:val="center"/>
          </w:tcPr>
          <w:p w14:paraId="67A7C7D5" w14:textId="77777777" w:rsidR="00A03F2C" w:rsidRPr="006F235C" w:rsidRDefault="00A03F2C" w:rsidP="00A03F2C">
            <w:pPr>
              <w:spacing w:before="20" w:after="20"/>
              <w:jc w:val="right"/>
              <w:rPr>
                <w:sz w:val="20"/>
                <w:szCs w:val="19"/>
              </w:rPr>
            </w:pPr>
            <w:r w:rsidRPr="006F235C">
              <w:rPr>
                <w:sz w:val="20"/>
                <w:szCs w:val="19"/>
              </w:rPr>
              <w:t>-23,3 %</w:t>
            </w:r>
          </w:p>
        </w:tc>
        <w:tc>
          <w:tcPr>
            <w:tcW w:w="1644" w:type="dxa"/>
            <w:vAlign w:val="center"/>
          </w:tcPr>
          <w:p w14:paraId="2AAA1B29" w14:textId="77777777" w:rsidR="00A03F2C" w:rsidRPr="006F235C" w:rsidRDefault="00A03F2C" w:rsidP="00A03F2C">
            <w:pPr>
              <w:spacing w:before="20" w:after="20"/>
              <w:jc w:val="right"/>
              <w:rPr>
                <w:sz w:val="20"/>
                <w:szCs w:val="19"/>
              </w:rPr>
            </w:pPr>
            <w:r w:rsidRPr="006F235C">
              <w:rPr>
                <w:sz w:val="20"/>
                <w:szCs w:val="19"/>
              </w:rPr>
              <w:t>-31,1 %</w:t>
            </w:r>
          </w:p>
        </w:tc>
      </w:tr>
      <w:tr w:rsidR="00A03F2C" w:rsidRPr="00A03F2C" w14:paraId="1E62F4DE" w14:textId="77777777" w:rsidTr="009B30FB">
        <w:tc>
          <w:tcPr>
            <w:tcW w:w="1077" w:type="dxa"/>
            <w:vMerge/>
            <w:vAlign w:val="center"/>
          </w:tcPr>
          <w:p w14:paraId="794504E0" w14:textId="77777777" w:rsidR="00A03F2C" w:rsidRPr="0026376A" w:rsidRDefault="00A03F2C" w:rsidP="00A03F2C">
            <w:pPr>
              <w:spacing w:before="20" w:after="20"/>
              <w:rPr>
                <w:sz w:val="20"/>
                <w:szCs w:val="19"/>
              </w:rPr>
            </w:pPr>
          </w:p>
        </w:tc>
        <w:tc>
          <w:tcPr>
            <w:tcW w:w="1020" w:type="dxa"/>
            <w:vAlign w:val="center"/>
          </w:tcPr>
          <w:p w14:paraId="67D90A4C" w14:textId="77777777" w:rsidR="00A03F2C" w:rsidRPr="0026376A" w:rsidRDefault="00A03F2C" w:rsidP="00A03F2C">
            <w:pPr>
              <w:spacing w:before="20" w:after="20"/>
              <w:jc w:val="right"/>
              <w:rPr>
                <w:sz w:val="20"/>
                <w:szCs w:val="19"/>
              </w:rPr>
            </w:pPr>
            <w:r w:rsidRPr="0026376A">
              <w:rPr>
                <w:sz w:val="20"/>
                <w:szCs w:val="19"/>
              </w:rPr>
              <w:t>40 let</w:t>
            </w:r>
          </w:p>
        </w:tc>
        <w:tc>
          <w:tcPr>
            <w:tcW w:w="1984" w:type="dxa"/>
            <w:vAlign w:val="center"/>
          </w:tcPr>
          <w:p w14:paraId="0C6CE871" w14:textId="77777777" w:rsidR="00A03F2C" w:rsidRPr="006F235C" w:rsidRDefault="00A03F2C" w:rsidP="00A03F2C">
            <w:pPr>
              <w:spacing w:before="20" w:after="20"/>
              <w:jc w:val="right"/>
              <w:rPr>
                <w:sz w:val="20"/>
                <w:szCs w:val="19"/>
              </w:rPr>
            </w:pPr>
            <w:r w:rsidRPr="006F235C">
              <w:rPr>
                <w:sz w:val="20"/>
                <w:szCs w:val="19"/>
              </w:rPr>
              <w:t>-18,5 %</w:t>
            </w:r>
          </w:p>
        </w:tc>
        <w:tc>
          <w:tcPr>
            <w:tcW w:w="1871" w:type="dxa"/>
            <w:vAlign w:val="center"/>
          </w:tcPr>
          <w:p w14:paraId="491E00EE" w14:textId="77777777" w:rsidR="00A03F2C" w:rsidRPr="006F235C" w:rsidRDefault="00A03F2C" w:rsidP="00A03F2C">
            <w:pPr>
              <w:spacing w:before="20" w:after="20"/>
              <w:jc w:val="right"/>
              <w:rPr>
                <w:sz w:val="20"/>
                <w:szCs w:val="19"/>
              </w:rPr>
            </w:pPr>
            <w:r w:rsidRPr="006F235C">
              <w:rPr>
                <w:sz w:val="20"/>
                <w:szCs w:val="19"/>
              </w:rPr>
              <w:t>-12,0 %</w:t>
            </w:r>
          </w:p>
        </w:tc>
        <w:tc>
          <w:tcPr>
            <w:tcW w:w="1474" w:type="dxa"/>
            <w:vAlign w:val="center"/>
          </w:tcPr>
          <w:p w14:paraId="1F16880C" w14:textId="77777777" w:rsidR="00A03F2C" w:rsidRPr="006F235C" w:rsidRDefault="00A03F2C" w:rsidP="00A03F2C">
            <w:pPr>
              <w:spacing w:before="20" w:after="20"/>
              <w:jc w:val="right"/>
              <w:rPr>
                <w:sz w:val="20"/>
                <w:szCs w:val="19"/>
              </w:rPr>
            </w:pPr>
            <w:r w:rsidRPr="006F235C">
              <w:rPr>
                <w:sz w:val="20"/>
                <w:szCs w:val="19"/>
              </w:rPr>
              <w:t>-30,3 %</w:t>
            </w:r>
          </w:p>
        </w:tc>
        <w:tc>
          <w:tcPr>
            <w:tcW w:w="1644" w:type="dxa"/>
            <w:vAlign w:val="center"/>
          </w:tcPr>
          <w:p w14:paraId="3E6E092E" w14:textId="77777777" w:rsidR="00A03F2C" w:rsidRPr="006F235C" w:rsidRDefault="00A03F2C" w:rsidP="00A03F2C">
            <w:pPr>
              <w:spacing w:before="20" w:after="20"/>
              <w:jc w:val="right"/>
              <w:rPr>
                <w:sz w:val="20"/>
                <w:szCs w:val="19"/>
              </w:rPr>
            </w:pPr>
            <w:r w:rsidRPr="006F235C">
              <w:rPr>
                <w:sz w:val="20"/>
                <w:szCs w:val="19"/>
              </w:rPr>
              <w:t>-40,7 %</w:t>
            </w:r>
          </w:p>
        </w:tc>
      </w:tr>
      <w:tr w:rsidR="00A03F2C" w:rsidRPr="00A03F2C" w14:paraId="49A7961E" w14:textId="77777777" w:rsidTr="009B30FB">
        <w:tc>
          <w:tcPr>
            <w:tcW w:w="1077" w:type="dxa"/>
            <w:vMerge w:val="restart"/>
            <w:vAlign w:val="center"/>
          </w:tcPr>
          <w:p w14:paraId="5558A33E" w14:textId="77777777" w:rsidR="00A03F2C" w:rsidRPr="0026376A" w:rsidRDefault="00A03F2C" w:rsidP="00A03F2C">
            <w:pPr>
              <w:spacing w:before="20" w:after="20"/>
              <w:rPr>
                <w:sz w:val="20"/>
                <w:szCs w:val="19"/>
              </w:rPr>
            </w:pPr>
            <w:r w:rsidRPr="0026376A">
              <w:rPr>
                <w:sz w:val="20"/>
                <w:szCs w:val="19"/>
              </w:rPr>
              <w:t>Varianta 1</w:t>
            </w:r>
          </w:p>
        </w:tc>
        <w:tc>
          <w:tcPr>
            <w:tcW w:w="1020" w:type="dxa"/>
            <w:vAlign w:val="center"/>
          </w:tcPr>
          <w:p w14:paraId="447B5D03" w14:textId="77777777" w:rsidR="00A03F2C" w:rsidRPr="0026376A" w:rsidRDefault="00A03F2C" w:rsidP="00A03F2C">
            <w:pPr>
              <w:spacing w:before="20" w:after="20"/>
              <w:jc w:val="right"/>
              <w:rPr>
                <w:sz w:val="20"/>
                <w:szCs w:val="19"/>
              </w:rPr>
            </w:pPr>
            <w:r w:rsidRPr="0026376A">
              <w:rPr>
                <w:sz w:val="20"/>
                <w:szCs w:val="19"/>
              </w:rPr>
              <w:t>30 let</w:t>
            </w:r>
          </w:p>
        </w:tc>
        <w:tc>
          <w:tcPr>
            <w:tcW w:w="1984" w:type="dxa"/>
            <w:vAlign w:val="center"/>
          </w:tcPr>
          <w:p w14:paraId="4BAC0D9D"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7,1</w:t>
            </w:r>
            <w:r w:rsidRPr="006F235C">
              <w:rPr>
                <w:sz w:val="20"/>
                <w:szCs w:val="19"/>
              </w:rPr>
              <w:t xml:space="preserve"> %</w:t>
            </w:r>
          </w:p>
        </w:tc>
        <w:tc>
          <w:tcPr>
            <w:tcW w:w="1871" w:type="dxa"/>
            <w:vAlign w:val="center"/>
          </w:tcPr>
          <w:p w14:paraId="22930B7D"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7,1</w:t>
            </w:r>
            <w:r w:rsidRPr="006F235C">
              <w:rPr>
                <w:sz w:val="20"/>
                <w:szCs w:val="19"/>
              </w:rPr>
              <w:t xml:space="preserve"> %</w:t>
            </w:r>
          </w:p>
        </w:tc>
        <w:tc>
          <w:tcPr>
            <w:tcW w:w="1474" w:type="dxa"/>
            <w:vAlign w:val="center"/>
          </w:tcPr>
          <w:p w14:paraId="7E2C90E0"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7,8</w:t>
            </w:r>
            <w:r w:rsidRPr="006F235C">
              <w:rPr>
                <w:sz w:val="20"/>
                <w:szCs w:val="19"/>
              </w:rPr>
              <w:t xml:space="preserve"> %</w:t>
            </w:r>
          </w:p>
        </w:tc>
        <w:tc>
          <w:tcPr>
            <w:tcW w:w="1644" w:type="dxa"/>
            <w:vAlign w:val="center"/>
          </w:tcPr>
          <w:p w14:paraId="0EBED2BF"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8,6</w:t>
            </w:r>
            <w:r w:rsidRPr="006F235C">
              <w:rPr>
                <w:sz w:val="20"/>
                <w:szCs w:val="19"/>
              </w:rPr>
              <w:t xml:space="preserve"> %</w:t>
            </w:r>
          </w:p>
        </w:tc>
      </w:tr>
      <w:tr w:rsidR="00A03F2C" w:rsidRPr="00A03F2C" w14:paraId="14AE13F0" w14:textId="77777777" w:rsidTr="009B30FB">
        <w:tc>
          <w:tcPr>
            <w:tcW w:w="1077" w:type="dxa"/>
            <w:vMerge/>
            <w:vAlign w:val="center"/>
          </w:tcPr>
          <w:p w14:paraId="3D36E799" w14:textId="77777777" w:rsidR="00A03F2C" w:rsidRPr="0026376A" w:rsidRDefault="00A03F2C" w:rsidP="00A03F2C">
            <w:pPr>
              <w:spacing w:before="20" w:after="20"/>
              <w:rPr>
                <w:sz w:val="20"/>
                <w:szCs w:val="19"/>
              </w:rPr>
            </w:pPr>
          </w:p>
        </w:tc>
        <w:tc>
          <w:tcPr>
            <w:tcW w:w="1020" w:type="dxa"/>
            <w:vAlign w:val="center"/>
          </w:tcPr>
          <w:p w14:paraId="7E5FA53B" w14:textId="77777777" w:rsidR="00A03F2C" w:rsidRPr="0026376A" w:rsidRDefault="00A03F2C" w:rsidP="00A03F2C">
            <w:pPr>
              <w:spacing w:before="20" w:after="20"/>
              <w:jc w:val="right"/>
              <w:rPr>
                <w:sz w:val="20"/>
                <w:szCs w:val="19"/>
              </w:rPr>
            </w:pPr>
            <w:r w:rsidRPr="0026376A">
              <w:rPr>
                <w:sz w:val="20"/>
                <w:szCs w:val="19"/>
              </w:rPr>
              <w:t>40 let</w:t>
            </w:r>
          </w:p>
        </w:tc>
        <w:tc>
          <w:tcPr>
            <w:tcW w:w="1984" w:type="dxa"/>
            <w:vAlign w:val="center"/>
          </w:tcPr>
          <w:p w14:paraId="3652C1AB"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9,4</w:t>
            </w:r>
            <w:r w:rsidRPr="006F235C">
              <w:rPr>
                <w:sz w:val="20"/>
                <w:szCs w:val="19"/>
              </w:rPr>
              <w:t xml:space="preserve"> %</w:t>
            </w:r>
          </w:p>
        </w:tc>
        <w:tc>
          <w:tcPr>
            <w:tcW w:w="1871" w:type="dxa"/>
            <w:vAlign w:val="center"/>
          </w:tcPr>
          <w:p w14:paraId="1FDC9311"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9,4</w:t>
            </w:r>
            <w:r w:rsidRPr="006F235C">
              <w:rPr>
                <w:sz w:val="20"/>
                <w:szCs w:val="19"/>
              </w:rPr>
              <w:t xml:space="preserve"> %</w:t>
            </w:r>
          </w:p>
        </w:tc>
        <w:tc>
          <w:tcPr>
            <w:tcW w:w="1474" w:type="dxa"/>
            <w:vAlign w:val="center"/>
          </w:tcPr>
          <w:p w14:paraId="6C02B3C3"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10,5</w:t>
            </w:r>
            <w:r w:rsidRPr="006F235C">
              <w:rPr>
                <w:sz w:val="20"/>
                <w:szCs w:val="19"/>
              </w:rPr>
              <w:t xml:space="preserve"> %</w:t>
            </w:r>
          </w:p>
        </w:tc>
        <w:tc>
          <w:tcPr>
            <w:tcW w:w="1644" w:type="dxa"/>
            <w:vAlign w:val="center"/>
          </w:tcPr>
          <w:p w14:paraId="3EB72FB5" w14:textId="77777777" w:rsidR="00A03F2C" w:rsidRPr="006F235C" w:rsidRDefault="00A03F2C" w:rsidP="00A03F2C">
            <w:pPr>
              <w:spacing w:before="20" w:after="20"/>
              <w:jc w:val="right"/>
              <w:rPr>
                <w:sz w:val="20"/>
                <w:szCs w:val="19"/>
              </w:rPr>
            </w:pPr>
            <w:r w:rsidRPr="006F235C">
              <w:rPr>
                <w:sz w:val="20"/>
                <w:szCs w:val="19"/>
              </w:rPr>
              <w:t>-</w:t>
            </w:r>
            <w:r w:rsidR="00E64B58" w:rsidRPr="006F235C">
              <w:rPr>
                <w:sz w:val="20"/>
                <w:szCs w:val="19"/>
              </w:rPr>
              <w:t>11,9</w:t>
            </w:r>
            <w:r w:rsidRPr="006F235C">
              <w:rPr>
                <w:sz w:val="20"/>
                <w:szCs w:val="19"/>
              </w:rPr>
              <w:t xml:space="preserve"> %</w:t>
            </w:r>
          </w:p>
        </w:tc>
      </w:tr>
      <w:tr w:rsidR="0026376A" w:rsidRPr="00A03F2C" w14:paraId="0547FB7E" w14:textId="77777777" w:rsidTr="009B30FB">
        <w:tc>
          <w:tcPr>
            <w:tcW w:w="1077" w:type="dxa"/>
            <w:vMerge w:val="restart"/>
            <w:vAlign w:val="center"/>
          </w:tcPr>
          <w:p w14:paraId="753FA837" w14:textId="77777777" w:rsidR="0026376A" w:rsidRPr="0026376A" w:rsidRDefault="0026376A" w:rsidP="00A03F2C">
            <w:pPr>
              <w:spacing w:before="20" w:after="20"/>
              <w:rPr>
                <w:sz w:val="20"/>
                <w:szCs w:val="19"/>
              </w:rPr>
            </w:pPr>
            <w:r w:rsidRPr="0026376A">
              <w:rPr>
                <w:sz w:val="20"/>
                <w:szCs w:val="19"/>
              </w:rPr>
              <w:t>Varianta 2</w:t>
            </w:r>
          </w:p>
        </w:tc>
        <w:tc>
          <w:tcPr>
            <w:tcW w:w="1020" w:type="dxa"/>
            <w:vAlign w:val="center"/>
          </w:tcPr>
          <w:p w14:paraId="26253181" w14:textId="77777777" w:rsidR="0026376A" w:rsidRPr="0026376A" w:rsidRDefault="0026376A" w:rsidP="00A03F2C">
            <w:pPr>
              <w:spacing w:before="20" w:after="20"/>
              <w:jc w:val="right"/>
              <w:rPr>
                <w:sz w:val="20"/>
                <w:szCs w:val="19"/>
              </w:rPr>
            </w:pPr>
            <w:r w:rsidRPr="0026376A">
              <w:rPr>
                <w:sz w:val="20"/>
                <w:szCs w:val="19"/>
              </w:rPr>
              <w:t>30 let</w:t>
            </w:r>
          </w:p>
        </w:tc>
        <w:tc>
          <w:tcPr>
            <w:tcW w:w="1984" w:type="dxa"/>
            <w:vAlign w:val="center"/>
          </w:tcPr>
          <w:p w14:paraId="7BE8EE83" w14:textId="77777777" w:rsidR="0026376A" w:rsidRPr="006F235C" w:rsidRDefault="0026376A" w:rsidP="00A03F2C">
            <w:pPr>
              <w:spacing w:before="20" w:after="20"/>
              <w:jc w:val="right"/>
              <w:rPr>
                <w:sz w:val="20"/>
                <w:szCs w:val="19"/>
              </w:rPr>
            </w:pPr>
            <w:r w:rsidRPr="006F235C">
              <w:rPr>
                <w:sz w:val="20"/>
                <w:szCs w:val="19"/>
              </w:rPr>
              <w:t>-11,8 %</w:t>
            </w:r>
          </w:p>
        </w:tc>
        <w:tc>
          <w:tcPr>
            <w:tcW w:w="1871" w:type="dxa"/>
            <w:vAlign w:val="center"/>
          </w:tcPr>
          <w:p w14:paraId="321310D3" w14:textId="77777777" w:rsidR="0026376A" w:rsidRPr="006F235C" w:rsidRDefault="0026376A" w:rsidP="00A03F2C">
            <w:pPr>
              <w:spacing w:before="20" w:after="20"/>
              <w:jc w:val="right"/>
              <w:rPr>
                <w:sz w:val="20"/>
                <w:szCs w:val="19"/>
              </w:rPr>
            </w:pPr>
            <w:r w:rsidRPr="006F235C">
              <w:rPr>
                <w:sz w:val="20"/>
                <w:szCs w:val="19"/>
              </w:rPr>
              <w:t>-9,2 %</w:t>
            </w:r>
          </w:p>
        </w:tc>
        <w:tc>
          <w:tcPr>
            <w:tcW w:w="1474" w:type="dxa"/>
            <w:vAlign w:val="center"/>
          </w:tcPr>
          <w:p w14:paraId="20794499" w14:textId="77777777" w:rsidR="0026376A" w:rsidRPr="006F235C" w:rsidRDefault="0026376A" w:rsidP="00A03F2C">
            <w:pPr>
              <w:spacing w:before="20" w:after="20"/>
              <w:jc w:val="right"/>
              <w:rPr>
                <w:sz w:val="20"/>
                <w:szCs w:val="19"/>
              </w:rPr>
            </w:pPr>
            <w:r w:rsidRPr="006F235C">
              <w:rPr>
                <w:sz w:val="20"/>
                <w:szCs w:val="19"/>
              </w:rPr>
              <w:t>-20,6 %</w:t>
            </w:r>
          </w:p>
        </w:tc>
        <w:tc>
          <w:tcPr>
            <w:tcW w:w="1644" w:type="dxa"/>
            <w:vAlign w:val="center"/>
          </w:tcPr>
          <w:p w14:paraId="6749622B" w14:textId="77777777" w:rsidR="0026376A" w:rsidRPr="006F235C" w:rsidRDefault="0026376A" w:rsidP="00A03F2C">
            <w:pPr>
              <w:spacing w:before="20" w:after="20"/>
              <w:jc w:val="right"/>
              <w:rPr>
                <w:sz w:val="20"/>
                <w:szCs w:val="19"/>
              </w:rPr>
            </w:pPr>
            <w:r w:rsidRPr="006F235C">
              <w:rPr>
                <w:sz w:val="20"/>
                <w:szCs w:val="19"/>
              </w:rPr>
              <w:t>-26,6 %</w:t>
            </w:r>
          </w:p>
        </w:tc>
      </w:tr>
      <w:tr w:rsidR="0026376A" w:rsidRPr="00A03F2C" w14:paraId="4DA6017A" w14:textId="77777777" w:rsidTr="009B30FB">
        <w:tc>
          <w:tcPr>
            <w:tcW w:w="1077" w:type="dxa"/>
            <w:vMerge/>
          </w:tcPr>
          <w:p w14:paraId="3587CB85" w14:textId="77777777" w:rsidR="0026376A" w:rsidRPr="00A03F2C" w:rsidRDefault="0026376A" w:rsidP="00A03F2C">
            <w:pPr>
              <w:spacing w:before="20" w:after="20"/>
              <w:jc w:val="both"/>
              <w:rPr>
                <w:sz w:val="19"/>
                <w:szCs w:val="19"/>
              </w:rPr>
            </w:pPr>
          </w:p>
        </w:tc>
        <w:tc>
          <w:tcPr>
            <w:tcW w:w="1020" w:type="dxa"/>
            <w:vAlign w:val="center"/>
          </w:tcPr>
          <w:p w14:paraId="35977061" w14:textId="77777777" w:rsidR="0026376A" w:rsidRPr="0026376A" w:rsidRDefault="0026376A" w:rsidP="00A03F2C">
            <w:pPr>
              <w:spacing w:before="20" w:after="20"/>
              <w:jc w:val="right"/>
              <w:rPr>
                <w:sz w:val="20"/>
                <w:szCs w:val="19"/>
              </w:rPr>
            </w:pPr>
            <w:r w:rsidRPr="0026376A">
              <w:rPr>
                <w:sz w:val="20"/>
                <w:szCs w:val="19"/>
              </w:rPr>
              <w:t>40 let</w:t>
            </w:r>
          </w:p>
        </w:tc>
        <w:tc>
          <w:tcPr>
            <w:tcW w:w="1984" w:type="dxa"/>
            <w:vAlign w:val="center"/>
          </w:tcPr>
          <w:p w14:paraId="0DBF0286" w14:textId="77777777" w:rsidR="0026376A" w:rsidRPr="006F235C" w:rsidRDefault="0026376A" w:rsidP="00A03F2C">
            <w:pPr>
              <w:spacing w:before="20" w:after="20"/>
              <w:jc w:val="right"/>
              <w:rPr>
                <w:sz w:val="20"/>
                <w:szCs w:val="19"/>
              </w:rPr>
            </w:pPr>
            <w:r w:rsidRPr="006F235C">
              <w:rPr>
                <w:sz w:val="20"/>
                <w:szCs w:val="19"/>
              </w:rPr>
              <w:t>-15,4 %</w:t>
            </w:r>
          </w:p>
        </w:tc>
        <w:tc>
          <w:tcPr>
            <w:tcW w:w="1871" w:type="dxa"/>
            <w:vAlign w:val="center"/>
          </w:tcPr>
          <w:p w14:paraId="73D07484" w14:textId="77777777" w:rsidR="0026376A" w:rsidRPr="006F235C" w:rsidRDefault="0026376A" w:rsidP="00A03F2C">
            <w:pPr>
              <w:spacing w:before="20" w:after="20"/>
              <w:jc w:val="right"/>
              <w:rPr>
                <w:sz w:val="20"/>
                <w:szCs w:val="19"/>
              </w:rPr>
            </w:pPr>
            <w:r w:rsidRPr="006F235C">
              <w:rPr>
                <w:sz w:val="20"/>
                <w:szCs w:val="19"/>
              </w:rPr>
              <w:t>-12,0 %</w:t>
            </w:r>
          </w:p>
        </w:tc>
        <w:tc>
          <w:tcPr>
            <w:tcW w:w="1474" w:type="dxa"/>
            <w:vAlign w:val="center"/>
          </w:tcPr>
          <w:p w14:paraId="1F12E1BE" w14:textId="77777777" w:rsidR="0026376A" w:rsidRPr="006F235C" w:rsidRDefault="0026376A" w:rsidP="00A03F2C">
            <w:pPr>
              <w:spacing w:before="20" w:after="20"/>
              <w:jc w:val="right"/>
              <w:rPr>
                <w:sz w:val="20"/>
                <w:szCs w:val="19"/>
              </w:rPr>
            </w:pPr>
            <w:r w:rsidRPr="006F235C">
              <w:rPr>
                <w:sz w:val="20"/>
                <w:szCs w:val="19"/>
              </w:rPr>
              <w:t>-27,0 %</w:t>
            </w:r>
          </w:p>
        </w:tc>
        <w:tc>
          <w:tcPr>
            <w:tcW w:w="1644" w:type="dxa"/>
            <w:vAlign w:val="center"/>
          </w:tcPr>
          <w:p w14:paraId="326AFE2E" w14:textId="77777777" w:rsidR="0026376A" w:rsidRPr="006F235C" w:rsidRDefault="0026376A" w:rsidP="00A03F2C">
            <w:pPr>
              <w:spacing w:before="20" w:after="20"/>
              <w:jc w:val="right"/>
              <w:rPr>
                <w:sz w:val="20"/>
                <w:szCs w:val="19"/>
              </w:rPr>
            </w:pPr>
            <w:r w:rsidRPr="006F235C">
              <w:rPr>
                <w:sz w:val="20"/>
                <w:szCs w:val="19"/>
              </w:rPr>
              <w:t>-35,2 %</w:t>
            </w:r>
          </w:p>
        </w:tc>
      </w:tr>
    </w:tbl>
    <w:p w14:paraId="74938C32" w14:textId="77777777" w:rsidR="00A03F2C" w:rsidRPr="00A03F2C" w:rsidRDefault="00A03F2C" w:rsidP="00A03F2C">
      <w:pPr>
        <w:suppressAutoHyphens w:val="0"/>
        <w:spacing w:after="0" w:line="259" w:lineRule="auto"/>
        <w:jc w:val="both"/>
        <w:rPr>
          <w:rFonts w:eastAsia="Calibri"/>
          <w:sz w:val="18"/>
        </w:rPr>
      </w:pPr>
      <w:r w:rsidRPr="00A03F2C">
        <w:rPr>
          <w:rFonts w:eastAsia="Calibri"/>
          <w:sz w:val="18"/>
        </w:rPr>
        <w:t>Obecné předpoklady: měsíční příspěvek účastníka 1 100 Kč navyšovaný ročně o průměrnou roční míru inflace 2,5 %; státní příspěvek 20 % připisován čtvrtletně; úplaty za obhospodařování a zhodnocení účtovány ročně; průměrný roční hrubý výnos: transformované fondy a povinné konzervativní fondy 2,5 %, vyvážené fondy 4,5 %, dynamické fondy 7,5 %</w:t>
      </w:r>
    </w:p>
    <w:p w14:paraId="5B764310" w14:textId="77777777" w:rsidR="00A03F2C" w:rsidRPr="00A03F2C" w:rsidRDefault="00A03F2C" w:rsidP="00A03F2C">
      <w:pPr>
        <w:suppressAutoHyphens w:val="0"/>
        <w:spacing w:after="120" w:line="259" w:lineRule="auto"/>
        <w:jc w:val="right"/>
        <w:rPr>
          <w:rFonts w:eastAsia="Calibri"/>
          <w:sz w:val="18"/>
        </w:rPr>
      </w:pPr>
      <w:r w:rsidRPr="00A03F2C">
        <w:rPr>
          <w:rFonts w:eastAsia="Calibri"/>
          <w:sz w:val="18"/>
        </w:rPr>
        <w:t>Zdroj: výpočty MF</w:t>
      </w:r>
    </w:p>
    <w:p w14:paraId="62F7A20A" w14:textId="0AA06EB7" w:rsidR="00A03F2C" w:rsidRPr="00A03F2C" w:rsidRDefault="00A03F2C" w:rsidP="00A03F2C">
      <w:pPr>
        <w:suppressAutoHyphens w:val="0"/>
        <w:spacing w:after="120"/>
        <w:jc w:val="both"/>
        <w:rPr>
          <w:rFonts w:eastAsia="Calibri"/>
        </w:rPr>
      </w:pPr>
      <w:r w:rsidRPr="00A03F2C">
        <w:rPr>
          <w:rFonts w:eastAsia="Calibri"/>
        </w:rPr>
        <w:t xml:space="preserve">V porovnání se stávajícím stavem dochází </w:t>
      </w:r>
      <w:r w:rsidR="00FA29F6">
        <w:rPr>
          <w:rFonts w:eastAsia="Calibri"/>
        </w:rPr>
        <w:t xml:space="preserve">ve variantě 1 </w:t>
      </w:r>
      <w:r w:rsidRPr="00A03F2C">
        <w:rPr>
          <w:rFonts w:eastAsia="Calibri"/>
        </w:rPr>
        <w:t xml:space="preserve">k </w:t>
      </w:r>
      <w:r w:rsidR="003B2C0C">
        <w:rPr>
          <w:rFonts w:eastAsia="Calibri"/>
        </w:rPr>
        <w:t xml:space="preserve">výrazně menšímu </w:t>
      </w:r>
      <w:r w:rsidR="00FC0444">
        <w:rPr>
          <w:rFonts w:eastAsia="Calibri"/>
        </w:rPr>
        <w:t xml:space="preserve">snížení </w:t>
      </w:r>
      <w:r w:rsidRPr="00A03F2C">
        <w:rPr>
          <w:rFonts w:eastAsia="Calibri"/>
        </w:rPr>
        <w:t xml:space="preserve">naspořené částky </w:t>
      </w:r>
      <w:r w:rsidR="00FA29F6">
        <w:rPr>
          <w:rFonts w:eastAsia="Calibri"/>
        </w:rPr>
        <w:t xml:space="preserve">v důsledku úplat. </w:t>
      </w:r>
      <w:r w:rsidR="003B2C0C">
        <w:rPr>
          <w:rFonts w:eastAsia="Calibri"/>
        </w:rPr>
        <w:t>V</w:t>
      </w:r>
      <w:r w:rsidRPr="00A03F2C">
        <w:rPr>
          <w:rFonts w:eastAsia="Calibri"/>
        </w:rPr>
        <w:t xml:space="preserve">e variantě 2 </w:t>
      </w:r>
      <w:r w:rsidR="003B2C0C">
        <w:rPr>
          <w:rFonts w:eastAsia="Calibri"/>
        </w:rPr>
        <w:t>je snížení naspořené částky v důsledku úplat ve srovnání se současným stavem pouze o trochu menší</w:t>
      </w:r>
      <w:r w:rsidRPr="00A03F2C">
        <w:rPr>
          <w:rFonts w:eastAsia="Calibri"/>
        </w:rPr>
        <w:t xml:space="preserve">. V tomto ohledu by tedy varianta 1 měla výrazně pozitivní dopad na </w:t>
      </w:r>
      <w:r w:rsidR="00AE45FE">
        <w:rPr>
          <w:rFonts w:eastAsia="Calibri"/>
        </w:rPr>
        <w:t>účastníky doplňkového penzijního systému</w:t>
      </w:r>
      <w:r w:rsidRPr="00A03F2C">
        <w:rPr>
          <w:rFonts w:eastAsia="Calibri"/>
        </w:rPr>
        <w:t>, a to zejména na ty účastníky, kteří vstoupili nebo vstoupí do systému DPS v mladém věku a své prostředky investují v rámci dynamických účastnických fondů. Pro potenciální mladší účastníky by tak varianta 1 mohla představovat (vedle paralelně navrhovaného zvýšení procentuální výše státního příspěvku) další výraznou motivaci ke vstupu do systému DPS.</w:t>
      </w:r>
    </w:p>
    <w:p w14:paraId="511042AE" w14:textId="0BD7D75B" w:rsidR="00A03F2C" w:rsidRPr="00A03F2C" w:rsidRDefault="00A03F2C" w:rsidP="00A03F2C">
      <w:pPr>
        <w:suppressAutoHyphens w:val="0"/>
        <w:spacing w:after="120"/>
        <w:jc w:val="both"/>
        <w:rPr>
          <w:rFonts w:eastAsia="Calibri"/>
        </w:rPr>
      </w:pPr>
      <w:r w:rsidRPr="00A03F2C">
        <w:rPr>
          <w:rFonts w:eastAsia="Calibri"/>
        </w:rPr>
        <w:t xml:space="preserve">Pro penzijní společnosti znamenají varianty 1 a 2 pokles budoucích výnosů plynoucích z úplat. Vývoj objemu spravovaného majetku jednotlivých penzijních společností a jejich celkových nákladů vůči objemu spravovaného majetku v letech 2017 až </w:t>
      </w:r>
      <w:r w:rsidRPr="009D2306">
        <w:rPr>
          <w:rFonts w:eastAsia="Calibri"/>
        </w:rPr>
        <w:t>2025 zobrazuje graf 3</w:t>
      </w:r>
      <w:r w:rsidRPr="00A03F2C">
        <w:rPr>
          <w:rFonts w:eastAsia="Calibri"/>
        </w:rPr>
        <w:t xml:space="preserve">. V tomto grafu jsou současně uvedeny celkové úplaty penzijních fondů v jednotlivých variantách vyjádřené jako procentní výše z objemu spravovaného majetku, přičemž k úplatě za obhospodařování (standardně vyjádřena jako procento z majetku) je </w:t>
      </w:r>
      <w:r w:rsidR="008A362B">
        <w:rPr>
          <w:rFonts w:eastAsia="Calibri"/>
        </w:rPr>
        <w:t xml:space="preserve">v případě </w:t>
      </w:r>
      <w:r w:rsidR="002B0754">
        <w:rPr>
          <w:rFonts w:eastAsia="Calibri"/>
        </w:rPr>
        <w:t>variant</w:t>
      </w:r>
      <w:r w:rsidR="008A362B">
        <w:rPr>
          <w:rFonts w:eastAsia="Calibri"/>
        </w:rPr>
        <w:t xml:space="preserve"> </w:t>
      </w:r>
      <w:r w:rsidR="002B0754">
        <w:rPr>
          <w:rFonts w:eastAsia="Calibri"/>
        </w:rPr>
        <w:t xml:space="preserve">0 a </w:t>
      </w:r>
      <w:r w:rsidR="008A362B">
        <w:rPr>
          <w:rFonts w:eastAsia="Calibri"/>
        </w:rPr>
        <w:t xml:space="preserve">2 </w:t>
      </w:r>
      <w:r w:rsidRPr="00A03F2C">
        <w:rPr>
          <w:rFonts w:eastAsia="Calibri"/>
        </w:rPr>
        <w:t>připočtena úplata za zhodnocení (přepočtená na základě odhadovaných průměrných ročních hrubých výnosů</w:t>
      </w:r>
      <w:r w:rsidRPr="00A03F2C">
        <w:rPr>
          <w:rFonts w:eastAsia="Calibri"/>
          <w:vertAlign w:val="superscript"/>
        </w:rPr>
        <w:footnoteReference w:id="6"/>
      </w:r>
      <w:r w:rsidRPr="00A03F2C">
        <w:rPr>
          <w:rFonts w:eastAsia="Calibri"/>
        </w:rPr>
        <w:t xml:space="preserve">) do hodnoty procentní výše z majetku. </w:t>
      </w:r>
      <w:r w:rsidR="008A362B">
        <w:rPr>
          <w:rFonts w:eastAsia="Calibri"/>
        </w:rPr>
        <w:t>V</w:t>
      </w:r>
      <w:r w:rsidR="001A7939">
        <w:rPr>
          <w:rFonts w:eastAsia="Calibri"/>
        </w:rPr>
        <w:t>e</w:t>
      </w:r>
      <w:r w:rsidR="008A362B">
        <w:rPr>
          <w:rFonts w:eastAsia="Calibri"/>
        </w:rPr>
        <w:t> variantách 0 a 2 je c</w:t>
      </w:r>
      <w:r w:rsidRPr="00A03F2C">
        <w:rPr>
          <w:rFonts w:eastAsia="Calibri"/>
        </w:rPr>
        <w:t xml:space="preserve">elková úplata v případě dynamických fondů vzhledem k jejich předpokládanému vyššímu výnosu nejvyšší </w:t>
      </w:r>
      <w:r w:rsidR="00EF02AB">
        <w:rPr>
          <w:rFonts w:eastAsia="Calibri"/>
        </w:rPr>
        <w:t>ze</w:t>
      </w:r>
      <w:r w:rsidR="00A0440D">
        <w:rPr>
          <w:rFonts w:eastAsia="Calibri"/>
        </w:rPr>
        <w:t xml:space="preserve"> </w:t>
      </w:r>
      <w:r w:rsidRPr="00A03F2C">
        <w:rPr>
          <w:rFonts w:eastAsia="Calibri"/>
        </w:rPr>
        <w:t xml:space="preserve">všech </w:t>
      </w:r>
      <w:r w:rsidR="00EF02AB">
        <w:rPr>
          <w:rFonts w:eastAsia="Calibri"/>
        </w:rPr>
        <w:t xml:space="preserve">typů </w:t>
      </w:r>
      <w:r w:rsidRPr="00A03F2C">
        <w:rPr>
          <w:rFonts w:eastAsia="Calibri"/>
        </w:rPr>
        <w:t>penzijních fondů a celková úplata u povinných konzervativních fondů (PKF)</w:t>
      </w:r>
      <w:r w:rsidR="002D63FF">
        <w:rPr>
          <w:rFonts w:eastAsia="Calibri"/>
        </w:rPr>
        <w:t xml:space="preserve"> je naopak nejnižší</w:t>
      </w:r>
      <w:r w:rsidR="008A362B">
        <w:rPr>
          <w:rFonts w:eastAsia="Calibri"/>
        </w:rPr>
        <w:t>.</w:t>
      </w:r>
      <w:r w:rsidRPr="00A03F2C">
        <w:rPr>
          <w:rFonts w:eastAsia="Calibri"/>
        </w:rPr>
        <w:t xml:space="preserve"> </w:t>
      </w:r>
      <w:r w:rsidR="008A362B">
        <w:rPr>
          <w:rFonts w:eastAsia="Calibri"/>
        </w:rPr>
        <w:t>U</w:t>
      </w:r>
      <w:r w:rsidRPr="00A03F2C">
        <w:rPr>
          <w:rFonts w:eastAsia="Calibri"/>
        </w:rPr>
        <w:t> varianty 1</w:t>
      </w:r>
      <w:r w:rsidR="00FB1FFF">
        <w:rPr>
          <w:rFonts w:eastAsia="Calibri"/>
        </w:rPr>
        <w:t xml:space="preserve"> </w:t>
      </w:r>
      <w:r w:rsidR="002B0754">
        <w:rPr>
          <w:rFonts w:eastAsia="Calibri"/>
        </w:rPr>
        <w:t xml:space="preserve">činí </w:t>
      </w:r>
      <w:r w:rsidR="008A362B">
        <w:rPr>
          <w:rFonts w:eastAsia="Calibri"/>
        </w:rPr>
        <w:t>z důvodu zrušení</w:t>
      </w:r>
      <w:r w:rsidR="00FB1FFF">
        <w:rPr>
          <w:rFonts w:eastAsia="Calibri"/>
        </w:rPr>
        <w:t xml:space="preserve"> možnosti účtovat </w:t>
      </w:r>
      <w:r w:rsidR="008A362B">
        <w:rPr>
          <w:rFonts w:eastAsia="Calibri"/>
        </w:rPr>
        <w:t>úpl</w:t>
      </w:r>
      <w:r w:rsidR="00FB1FFF">
        <w:rPr>
          <w:rFonts w:eastAsia="Calibri"/>
        </w:rPr>
        <w:t>atu</w:t>
      </w:r>
      <w:r w:rsidR="008A362B">
        <w:rPr>
          <w:rFonts w:eastAsia="Calibri"/>
        </w:rPr>
        <w:t xml:space="preserve"> za zhodnocení celková úplata </w:t>
      </w:r>
      <w:r w:rsidR="002B0754">
        <w:rPr>
          <w:rFonts w:eastAsia="Calibri"/>
        </w:rPr>
        <w:t xml:space="preserve">u všech fondů (kromě alternativních) </w:t>
      </w:r>
      <w:r w:rsidR="008A362B">
        <w:rPr>
          <w:rFonts w:eastAsia="Calibri"/>
        </w:rPr>
        <w:t>0,5 % z objemu spravovaného majetku</w:t>
      </w:r>
      <w:r w:rsidRPr="00A03F2C">
        <w:rPr>
          <w:rFonts w:eastAsia="Calibri"/>
        </w:rPr>
        <w:t>.</w:t>
      </w:r>
    </w:p>
    <w:p w14:paraId="77DB005F" w14:textId="3D5A088C" w:rsidR="00A03F2C" w:rsidRPr="00A03F2C" w:rsidRDefault="00A03F2C" w:rsidP="00A03F2C">
      <w:pPr>
        <w:suppressAutoHyphens w:val="0"/>
        <w:spacing w:after="120"/>
        <w:jc w:val="both"/>
        <w:rPr>
          <w:rFonts w:eastAsia="Calibri"/>
        </w:rPr>
      </w:pPr>
      <w:r w:rsidRPr="00A03F2C">
        <w:rPr>
          <w:rFonts w:eastAsia="Calibri"/>
        </w:rPr>
        <w:t xml:space="preserve">Celková úplata u dynamických fondů tedy </w:t>
      </w:r>
      <w:r w:rsidR="002B0754">
        <w:rPr>
          <w:rFonts w:eastAsia="Calibri"/>
        </w:rPr>
        <w:t xml:space="preserve">v případě variant 0 a 2 </w:t>
      </w:r>
      <w:r w:rsidRPr="00A03F2C">
        <w:rPr>
          <w:rFonts w:eastAsia="Calibri"/>
        </w:rPr>
        <w:t xml:space="preserve">tvoří horní hranici intervalu, </w:t>
      </w:r>
      <w:r w:rsidR="00D044D2">
        <w:rPr>
          <w:rFonts w:eastAsia="Calibri"/>
        </w:rPr>
        <w:t>ve kterém by se měla</w:t>
      </w:r>
      <w:r w:rsidRPr="00A03F2C">
        <w:rPr>
          <w:rFonts w:eastAsia="Calibri"/>
        </w:rPr>
        <w:t xml:space="preserve"> pohybovat úplata </w:t>
      </w:r>
      <w:r w:rsidR="00D044D2">
        <w:rPr>
          <w:rFonts w:eastAsia="Calibri"/>
        </w:rPr>
        <w:t xml:space="preserve">skutečně účtovaná ze strany </w:t>
      </w:r>
      <w:r w:rsidRPr="00A03F2C">
        <w:rPr>
          <w:rFonts w:eastAsia="Calibri"/>
        </w:rPr>
        <w:t>penzijní společnost</w:t>
      </w:r>
      <w:r w:rsidR="00D044D2">
        <w:rPr>
          <w:rFonts w:eastAsia="Calibri"/>
        </w:rPr>
        <w:t>i</w:t>
      </w:r>
      <w:r w:rsidRPr="00A03F2C">
        <w:rPr>
          <w:rFonts w:eastAsia="Calibri"/>
        </w:rPr>
        <w:t xml:space="preserve">. Dolní hranici tohoto intervalu pak představuje celková úplata u </w:t>
      </w:r>
      <w:r w:rsidR="00FB1FFF">
        <w:rPr>
          <w:rFonts w:eastAsia="Calibri"/>
        </w:rPr>
        <w:t>povinných konzervativních fondů</w:t>
      </w:r>
      <w:r w:rsidRPr="00A03F2C">
        <w:rPr>
          <w:rFonts w:eastAsia="Calibri"/>
        </w:rPr>
        <w:t xml:space="preserve">. </w:t>
      </w:r>
    </w:p>
    <w:p w14:paraId="27AA43AF" w14:textId="58482AB6" w:rsidR="00A03F2C" w:rsidRPr="00A03F2C" w:rsidRDefault="00A03F2C" w:rsidP="00A03F2C">
      <w:pPr>
        <w:suppressAutoHyphens w:val="0"/>
        <w:spacing w:after="120"/>
        <w:jc w:val="both"/>
        <w:rPr>
          <w:rFonts w:eastAsia="Calibri"/>
        </w:rPr>
      </w:pPr>
      <w:r w:rsidRPr="00A03F2C">
        <w:rPr>
          <w:rFonts w:eastAsia="Calibri"/>
        </w:rPr>
        <w:t xml:space="preserve">Celkové náklady penzijních společností </w:t>
      </w:r>
      <w:r w:rsidR="00A67F24">
        <w:rPr>
          <w:rFonts w:eastAsia="Calibri"/>
        </w:rPr>
        <w:t>vyjádřené</w:t>
      </w:r>
      <w:r w:rsidR="003B2C0C">
        <w:rPr>
          <w:rFonts w:eastAsia="Calibri"/>
        </w:rPr>
        <w:t xml:space="preserve"> jako </w:t>
      </w:r>
      <w:r w:rsidR="00A67F24">
        <w:rPr>
          <w:rFonts w:eastAsia="Calibri"/>
        </w:rPr>
        <w:t>procentní podíl z</w:t>
      </w:r>
      <w:r w:rsidRPr="00A03F2C">
        <w:rPr>
          <w:rFonts w:eastAsia="Calibri"/>
        </w:rPr>
        <w:t xml:space="preserve"> objemu jejich spravovaného majetku </w:t>
      </w:r>
      <w:r w:rsidR="00A67F24">
        <w:rPr>
          <w:rFonts w:eastAsia="Calibri"/>
        </w:rPr>
        <w:t>se v čase vyvíjely. V</w:t>
      </w:r>
      <w:r w:rsidRPr="00A03F2C">
        <w:rPr>
          <w:rFonts w:eastAsia="Calibri"/>
        </w:rPr>
        <w:t xml:space="preserve"> roce 2025 </w:t>
      </w:r>
      <w:r w:rsidR="00A67F24">
        <w:rPr>
          <w:rFonts w:eastAsia="Calibri"/>
        </w:rPr>
        <w:t xml:space="preserve">se celkové náklady většiny penzijních společností </w:t>
      </w:r>
      <w:r w:rsidRPr="00A03F2C">
        <w:rPr>
          <w:rFonts w:eastAsia="Calibri"/>
        </w:rPr>
        <w:t>nacházely pod dolní mezí intervalu ve variantě 2 (0,65 %)</w:t>
      </w:r>
      <w:r w:rsidR="00A67F24">
        <w:rPr>
          <w:rFonts w:eastAsia="Calibri"/>
        </w:rPr>
        <w:t>, tj. i bez úpravy svého d</w:t>
      </w:r>
      <w:r w:rsidR="004C0FB2">
        <w:rPr>
          <w:rFonts w:eastAsia="Calibri"/>
        </w:rPr>
        <w:t>osavadního obchodního modelu na nákladové straně by v této variantě generovaly zisk.</w:t>
      </w:r>
      <w:r w:rsidR="00A67F24">
        <w:rPr>
          <w:rStyle w:val="Znakapoznpodarou"/>
          <w:rFonts w:eastAsia="Calibri"/>
        </w:rPr>
        <w:footnoteReference w:id="7"/>
      </w:r>
      <w:r w:rsidRPr="00A03F2C">
        <w:rPr>
          <w:rFonts w:eastAsia="Calibri"/>
        </w:rPr>
        <w:t xml:space="preserve"> </w:t>
      </w:r>
    </w:p>
    <w:p w14:paraId="49F35E20" w14:textId="77777777" w:rsidR="00A03F2C" w:rsidRPr="00A03F2C" w:rsidRDefault="00A03F2C" w:rsidP="00A03F2C">
      <w:pPr>
        <w:keepNext/>
        <w:suppressAutoHyphens w:val="0"/>
        <w:spacing w:after="0" w:line="240" w:lineRule="auto"/>
        <w:rPr>
          <w:rFonts w:eastAsia="Calibri"/>
          <w:b/>
          <w:bCs/>
          <w:color w:val="4F81BD"/>
          <w:sz w:val="20"/>
          <w:szCs w:val="18"/>
        </w:rPr>
      </w:pPr>
      <w:bookmarkStart w:id="169" w:name="_Toc229664380"/>
      <w:r w:rsidRPr="00A03F2C">
        <w:rPr>
          <w:rFonts w:eastAsia="Calibri"/>
          <w:b/>
          <w:bCs/>
          <w:color w:val="4F81BD"/>
          <w:sz w:val="20"/>
          <w:szCs w:val="18"/>
        </w:rPr>
        <w:lastRenderedPageBreak/>
        <w:t xml:space="preserve">Graf </w:t>
      </w:r>
      <w:r w:rsidRPr="00A03F2C">
        <w:rPr>
          <w:rFonts w:eastAsia="Calibri"/>
          <w:b/>
          <w:bCs/>
          <w:color w:val="4F81BD"/>
          <w:sz w:val="20"/>
          <w:szCs w:val="18"/>
        </w:rPr>
        <w:fldChar w:fldCharType="begin"/>
      </w:r>
      <w:r w:rsidRPr="00A03F2C">
        <w:rPr>
          <w:rFonts w:eastAsia="Calibri"/>
          <w:b/>
          <w:bCs/>
          <w:color w:val="4F81BD"/>
          <w:sz w:val="20"/>
          <w:szCs w:val="18"/>
        </w:rPr>
        <w:instrText xml:space="preserve"> SEQ Graf \* ARABIC </w:instrText>
      </w:r>
      <w:r w:rsidRPr="00A03F2C">
        <w:rPr>
          <w:rFonts w:eastAsia="Calibri"/>
          <w:b/>
          <w:bCs/>
          <w:color w:val="4F81BD"/>
          <w:sz w:val="20"/>
          <w:szCs w:val="18"/>
        </w:rPr>
        <w:fldChar w:fldCharType="separate"/>
      </w:r>
      <w:r w:rsidRPr="00A03F2C">
        <w:rPr>
          <w:rFonts w:eastAsia="Calibri"/>
          <w:b/>
          <w:bCs/>
          <w:noProof/>
          <w:color w:val="4F81BD"/>
          <w:sz w:val="20"/>
          <w:szCs w:val="18"/>
        </w:rPr>
        <w:t>3</w:t>
      </w:r>
      <w:r w:rsidRPr="00A03F2C">
        <w:rPr>
          <w:rFonts w:eastAsia="Calibri"/>
          <w:b/>
          <w:bCs/>
          <w:color w:val="4F81BD"/>
          <w:sz w:val="20"/>
          <w:szCs w:val="18"/>
        </w:rPr>
        <w:fldChar w:fldCharType="end"/>
      </w:r>
      <w:r w:rsidRPr="00A03F2C">
        <w:rPr>
          <w:rFonts w:eastAsia="Calibri"/>
          <w:b/>
          <w:bCs/>
          <w:color w:val="4F81BD"/>
          <w:sz w:val="20"/>
          <w:szCs w:val="18"/>
        </w:rPr>
        <w:t>: Celkové náklady vůči objemu spravovaného majetku u jednotlivých penzijních společností</w:t>
      </w:r>
      <w:bookmarkEnd w:id="169"/>
    </w:p>
    <w:p w14:paraId="186ECB64" w14:textId="77777777" w:rsidR="00A03F2C" w:rsidRPr="00A03F2C" w:rsidRDefault="00F01419" w:rsidP="00A03F2C">
      <w:pPr>
        <w:suppressAutoHyphens w:val="0"/>
        <w:spacing w:after="160" w:line="259" w:lineRule="auto"/>
        <w:rPr>
          <w:rFonts w:eastAsia="Calibri"/>
        </w:rPr>
      </w:pPr>
      <w:r>
        <w:rPr>
          <w:noProof/>
          <w:lang w:eastAsia="cs-CZ"/>
        </w:rPr>
        <w:drawing>
          <wp:inline distT="0" distB="0" distL="0" distR="0" wp14:anchorId="1BDF2AFC" wp14:editId="5B80D57F">
            <wp:extent cx="5760000" cy="3960000"/>
            <wp:effectExtent l="0" t="0" r="0" b="2540"/>
            <wp:docPr id="7" name="Graf 7">
              <a:extLst xmlns:a="http://schemas.openxmlformats.org/drawingml/2006/main">
                <a:ext uri="{FF2B5EF4-FFF2-40B4-BE49-F238E27FC236}">
                  <a16:creationId xmlns:a16="http://schemas.microsoft.com/office/drawing/2014/main" id="{63F19203-B65F-4624-A811-17CE89FE24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D7D8607" w14:textId="77777777" w:rsidR="00A03F2C" w:rsidRPr="00A03F2C" w:rsidRDefault="00E91DEC" w:rsidP="00A03F2C">
      <w:pPr>
        <w:suppressAutoHyphens w:val="0"/>
        <w:spacing w:after="0" w:line="259" w:lineRule="auto"/>
        <w:jc w:val="both"/>
        <w:rPr>
          <w:rFonts w:eastAsia="Calibri"/>
          <w:sz w:val="18"/>
        </w:rPr>
      </w:pPr>
      <w:r>
        <w:rPr>
          <w:rFonts w:eastAsia="Calibri"/>
          <w:sz w:val="18"/>
        </w:rPr>
        <w:t>Obecné předpoklady: celkovými</w:t>
      </w:r>
      <w:r w:rsidR="00A03F2C" w:rsidRPr="00A03F2C">
        <w:rPr>
          <w:rFonts w:eastAsia="Calibri"/>
          <w:sz w:val="18"/>
        </w:rPr>
        <w:t xml:space="preserve"> náklady </w:t>
      </w:r>
      <w:r>
        <w:rPr>
          <w:rFonts w:eastAsia="Calibri"/>
          <w:sz w:val="18"/>
        </w:rPr>
        <w:t xml:space="preserve">u </w:t>
      </w:r>
      <w:r w:rsidR="00A03F2C" w:rsidRPr="00A03F2C">
        <w:rPr>
          <w:rFonts w:eastAsia="Calibri"/>
          <w:sz w:val="18"/>
        </w:rPr>
        <w:t>jednotlivých pe</w:t>
      </w:r>
      <w:r>
        <w:rPr>
          <w:rFonts w:eastAsia="Calibri"/>
          <w:sz w:val="18"/>
        </w:rPr>
        <w:t xml:space="preserve">nzijních společností se rozumí rozdíl mezi </w:t>
      </w:r>
      <w:r w:rsidR="00A03F2C" w:rsidRPr="00A03F2C">
        <w:rPr>
          <w:rFonts w:eastAsia="Calibri"/>
          <w:sz w:val="18"/>
        </w:rPr>
        <w:t xml:space="preserve">výnosy z úplat </w:t>
      </w:r>
      <w:r>
        <w:rPr>
          <w:rFonts w:eastAsia="Calibri"/>
          <w:sz w:val="18"/>
        </w:rPr>
        <w:t>a ziskem společnosti</w:t>
      </w:r>
      <w:r w:rsidR="00A03F2C" w:rsidRPr="00A03F2C">
        <w:rPr>
          <w:rFonts w:eastAsia="Calibri"/>
          <w:sz w:val="18"/>
        </w:rPr>
        <w:t xml:space="preserve"> před zdaněním; </w:t>
      </w:r>
      <w:r>
        <w:rPr>
          <w:rFonts w:eastAsia="Calibri"/>
          <w:sz w:val="18"/>
        </w:rPr>
        <w:t xml:space="preserve">objem spravovaného majetku </w:t>
      </w:r>
      <w:r w:rsidR="00A20A6D">
        <w:rPr>
          <w:rFonts w:eastAsia="Calibri"/>
          <w:sz w:val="18"/>
        </w:rPr>
        <w:t xml:space="preserve">je stanoven ke konci účetního období; </w:t>
      </w:r>
      <w:r w:rsidR="00A03F2C" w:rsidRPr="00A03F2C">
        <w:rPr>
          <w:rFonts w:eastAsia="Calibri"/>
          <w:sz w:val="18"/>
        </w:rPr>
        <w:t xml:space="preserve">celkové úplaty </w:t>
      </w:r>
      <w:r w:rsidR="00A20A6D">
        <w:rPr>
          <w:rFonts w:eastAsia="Calibri"/>
          <w:sz w:val="18"/>
        </w:rPr>
        <w:t xml:space="preserve">jsou stanoveny </w:t>
      </w:r>
      <w:r w:rsidR="00A03F2C" w:rsidRPr="00A03F2C">
        <w:rPr>
          <w:rFonts w:eastAsia="Calibri"/>
          <w:sz w:val="18"/>
        </w:rPr>
        <w:t>za předpokladu průměrného roční hrubého výnosu: transformované fondy (TF) a povinné konzervativní fondy (PKF) 2,5 %, dynamické fondy 7,5 %</w:t>
      </w:r>
    </w:p>
    <w:p w14:paraId="038BBE6C" w14:textId="77777777" w:rsidR="00A03F2C" w:rsidRPr="00A03F2C" w:rsidRDefault="00A03F2C" w:rsidP="00A03F2C">
      <w:pPr>
        <w:suppressAutoHyphens w:val="0"/>
        <w:spacing w:after="160" w:line="259" w:lineRule="auto"/>
        <w:jc w:val="right"/>
        <w:rPr>
          <w:rFonts w:eastAsia="Calibri"/>
          <w:sz w:val="18"/>
        </w:rPr>
      </w:pPr>
      <w:r w:rsidRPr="00A03F2C">
        <w:rPr>
          <w:rFonts w:eastAsia="Calibri"/>
          <w:sz w:val="18"/>
        </w:rPr>
        <w:t xml:space="preserve">Zdroj: výroční zprávy penzijních společností, </w:t>
      </w:r>
      <w:r w:rsidRPr="00E91DEC">
        <w:rPr>
          <w:rFonts w:eastAsia="Calibri"/>
          <w:sz w:val="18"/>
        </w:rPr>
        <w:t>výpočty MF a L. Nádvorníka</w:t>
      </w:r>
      <w:r w:rsidRPr="00A03F2C">
        <w:rPr>
          <w:rFonts w:eastAsia="Calibri"/>
          <w:sz w:val="18"/>
        </w:rPr>
        <w:t xml:space="preserve"> </w:t>
      </w:r>
    </w:p>
    <w:p w14:paraId="2314DCB9" w14:textId="4CC04AEB" w:rsidR="00A03F2C" w:rsidRPr="00A03F2C" w:rsidRDefault="00125D20" w:rsidP="00A03F2C">
      <w:pPr>
        <w:suppressAutoHyphens w:val="0"/>
        <w:spacing w:after="120"/>
        <w:jc w:val="both"/>
        <w:rPr>
          <w:rFonts w:eastAsia="Calibri"/>
        </w:rPr>
      </w:pPr>
      <w:r>
        <w:rPr>
          <w:rFonts w:eastAsia="Calibri"/>
        </w:rPr>
        <w:t>Z</w:t>
      </w:r>
      <w:r w:rsidRPr="00125D20">
        <w:rPr>
          <w:rFonts w:eastAsia="Calibri"/>
        </w:rPr>
        <w:t xml:space="preserve"> grafu </w:t>
      </w:r>
      <w:r>
        <w:rPr>
          <w:rFonts w:eastAsia="Calibri"/>
        </w:rPr>
        <w:t xml:space="preserve">3 </w:t>
      </w:r>
      <w:r w:rsidRPr="00125D20">
        <w:rPr>
          <w:rFonts w:eastAsia="Calibri"/>
        </w:rPr>
        <w:t xml:space="preserve">plyne, že některé penzijní společnosti operovaly v uplynulých letech s náklady i pod dolní mezí varianty 1 a v případě její realizace by byly schopny (za jinak stejných podmínek) nadále </w:t>
      </w:r>
      <w:r w:rsidR="005A14A3">
        <w:rPr>
          <w:rFonts w:eastAsia="Calibri"/>
        </w:rPr>
        <w:t>dosahovat kladného hospodářského výsled</w:t>
      </w:r>
      <w:r w:rsidRPr="00125D20">
        <w:rPr>
          <w:rFonts w:eastAsia="Calibri"/>
        </w:rPr>
        <w:t>k</w:t>
      </w:r>
      <w:r w:rsidR="005A14A3">
        <w:rPr>
          <w:rFonts w:eastAsia="Calibri"/>
        </w:rPr>
        <w:t>u</w:t>
      </w:r>
      <w:r w:rsidRPr="00125D20">
        <w:rPr>
          <w:rFonts w:eastAsia="Calibri"/>
        </w:rPr>
        <w:t>. Nicméně na rozdíl od varianty 2 by varianta 1 vyžadovala u více penzijních společností korekci obchodního modelu na nákladové s</w:t>
      </w:r>
      <w:r w:rsidR="00CF62D0">
        <w:rPr>
          <w:rFonts w:eastAsia="Calibri"/>
        </w:rPr>
        <w:t>traně a/nebo generování úspor z </w:t>
      </w:r>
      <w:r w:rsidRPr="00125D20">
        <w:rPr>
          <w:rFonts w:eastAsia="Calibri"/>
        </w:rPr>
        <w:t xml:space="preserve">rozsahu, tak aby </w:t>
      </w:r>
      <w:r w:rsidR="005A14A3">
        <w:rPr>
          <w:rFonts w:eastAsia="Calibri"/>
        </w:rPr>
        <w:t>jejich</w:t>
      </w:r>
      <w:r w:rsidRPr="00125D20">
        <w:rPr>
          <w:rFonts w:eastAsia="Calibri"/>
        </w:rPr>
        <w:t xml:space="preserve"> hospodářský výsledek</w:t>
      </w:r>
      <w:r w:rsidR="005A14A3">
        <w:rPr>
          <w:rFonts w:eastAsia="Calibri"/>
        </w:rPr>
        <w:t xml:space="preserve"> by</w:t>
      </w:r>
      <w:r w:rsidR="00A531C2">
        <w:rPr>
          <w:rFonts w:eastAsia="Calibri"/>
        </w:rPr>
        <w:t>l</w:t>
      </w:r>
      <w:r w:rsidR="005A14A3">
        <w:rPr>
          <w:rFonts w:eastAsia="Calibri"/>
        </w:rPr>
        <w:t xml:space="preserve"> nadále kladný</w:t>
      </w:r>
      <w:r w:rsidRPr="00125D20">
        <w:rPr>
          <w:rFonts w:eastAsia="Calibri"/>
        </w:rPr>
        <w:t>.</w:t>
      </w:r>
      <w:r w:rsidR="005A14A3">
        <w:rPr>
          <w:rFonts w:eastAsia="Calibri"/>
        </w:rPr>
        <w:t xml:space="preserve"> </w:t>
      </w:r>
      <w:r w:rsidR="00F27F78">
        <w:rPr>
          <w:rFonts w:eastAsia="Calibri"/>
        </w:rPr>
        <w:t>P</w:t>
      </w:r>
      <w:r w:rsidR="00A03F2C" w:rsidRPr="009D2306">
        <w:rPr>
          <w:rFonts w:eastAsia="Calibri"/>
        </w:rPr>
        <w:t xml:space="preserve">ři rozkladu celkových nákladů </w:t>
      </w:r>
      <w:r w:rsidR="00F27F78">
        <w:rPr>
          <w:rFonts w:eastAsia="Calibri"/>
        </w:rPr>
        <w:t xml:space="preserve">penzijních </w:t>
      </w:r>
      <w:r w:rsidR="00A03F2C" w:rsidRPr="009D2306">
        <w:rPr>
          <w:rFonts w:eastAsia="Calibri"/>
        </w:rPr>
        <w:t>společností na náklady na provoz (graf 4) a náklady na správu portfolia (graf 5) je</w:t>
      </w:r>
      <w:r w:rsidR="00A03F2C" w:rsidRPr="00A03F2C">
        <w:rPr>
          <w:rFonts w:eastAsia="Calibri"/>
        </w:rPr>
        <w:t xml:space="preserve"> patrné, že jedna penzijní společnost (č. 5) měla v posledních letech vyšší náklady na provoz než ostatní společnosti. Dále v případě další penzijní společnosti (č. 8) byly zejména v letech 2024 a 2025 naopak neobvykle vysoké náklady na správu portfolia, a to i v absolutních číslech, kdy tyto náklady dosahovaly podobné částky jako u penzijních společností s dvojnásobně velkým objemem spravovaného majetku. V případě penzijní společnost</w:t>
      </w:r>
      <w:r w:rsidR="00FF3D81">
        <w:rPr>
          <w:rFonts w:eastAsia="Calibri"/>
        </w:rPr>
        <w:t>i</w:t>
      </w:r>
      <w:r w:rsidR="00A03F2C" w:rsidRPr="00A03F2C">
        <w:rPr>
          <w:rFonts w:eastAsia="Calibri"/>
        </w:rPr>
        <w:t xml:space="preserve"> č. 9 se pak jedná o společnost </w:t>
      </w:r>
      <w:r w:rsidR="00FF3D81">
        <w:rPr>
          <w:rFonts w:eastAsia="Calibri"/>
        </w:rPr>
        <w:t xml:space="preserve">s kratší historií na trhu a menším účastnickým kmenem, kdy je </w:t>
      </w:r>
      <w:r w:rsidR="00A03F2C" w:rsidRPr="00A03F2C">
        <w:rPr>
          <w:rFonts w:eastAsia="Calibri"/>
        </w:rPr>
        <w:t>intepretace a extrapo</w:t>
      </w:r>
      <w:r w:rsidR="00FB1FFF">
        <w:rPr>
          <w:rFonts w:eastAsia="Calibri"/>
        </w:rPr>
        <w:t>lace jejích nákladů obtížná.</w:t>
      </w:r>
    </w:p>
    <w:p w14:paraId="7264747A" w14:textId="77777777" w:rsidR="00A03F2C" w:rsidRPr="00A03F2C" w:rsidRDefault="00A03F2C" w:rsidP="00A03F2C">
      <w:pPr>
        <w:keepNext/>
        <w:suppressAutoHyphens w:val="0"/>
        <w:spacing w:after="0" w:line="240" w:lineRule="auto"/>
        <w:rPr>
          <w:rFonts w:eastAsia="Calibri"/>
          <w:b/>
          <w:bCs/>
          <w:color w:val="4F81BD"/>
          <w:sz w:val="20"/>
          <w:szCs w:val="18"/>
        </w:rPr>
      </w:pPr>
      <w:bookmarkStart w:id="170" w:name="_Toc229664381"/>
      <w:r w:rsidRPr="00A03F2C">
        <w:rPr>
          <w:rFonts w:eastAsia="Calibri"/>
          <w:b/>
          <w:bCs/>
          <w:color w:val="4F81BD"/>
          <w:sz w:val="20"/>
          <w:szCs w:val="18"/>
        </w:rPr>
        <w:lastRenderedPageBreak/>
        <w:t xml:space="preserve">Graf </w:t>
      </w:r>
      <w:r w:rsidRPr="00A03F2C">
        <w:rPr>
          <w:rFonts w:eastAsia="Calibri"/>
          <w:b/>
          <w:bCs/>
          <w:color w:val="4F81BD"/>
          <w:sz w:val="20"/>
          <w:szCs w:val="18"/>
        </w:rPr>
        <w:fldChar w:fldCharType="begin"/>
      </w:r>
      <w:r w:rsidRPr="00A03F2C">
        <w:rPr>
          <w:rFonts w:eastAsia="Calibri"/>
          <w:b/>
          <w:bCs/>
          <w:color w:val="4F81BD"/>
          <w:sz w:val="20"/>
          <w:szCs w:val="18"/>
        </w:rPr>
        <w:instrText xml:space="preserve"> SEQ Graf \* ARABIC </w:instrText>
      </w:r>
      <w:r w:rsidRPr="00A03F2C">
        <w:rPr>
          <w:rFonts w:eastAsia="Calibri"/>
          <w:b/>
          <w:bCs/>
          <w:color w:val="4F81BD"/>
          <w:sz w:val="20"/>
          <w:szCs w:val="18"/>
        </w:rPr>
        <w:fldChar w:fldCharType="separate"/>
      </w:r>
      <w:r w:rsidRPr="00A03F2C">
        <w:rPr>
          <w:rFonts w:eastAsia="Calibri"/>
          <w:b/>
          <w:bCs/>
          <w:noProof/>
          <w:color w:val="4F81BD"/>
          <w:sz w:val="20"/>
          <w:szCs w:val="18"/>
        </w:rPr>
        <w:t>4</w:t>
      </w:r>
      <w:r w:rsidRPr="00A03F2C">
        <w:rPr>
          <w:rFonts w:eastAsia="Calibri"/>
          <w:b/>
          <w:bCs/>
          <w:color w:val="4F81BD"/>
          <w:sz w:val="20"/>
          <w:szCs w:val="18"/>
        </w:rPr>
        <w:fldChar w:fldCharType="end"/>
      </w:r>
      <w:r w:rsidRPr="00A03F2C">
        <w:rPr>
          <w:rFonts w:eastAsia="Calibri"/>
          <w:b/>
          <w:bCs/>
          <w:color w:val="4F81BD"/>
          <w:sz w:val="20"/>
          <w:szCs w:val="18"/>
        </w:rPr>
        <w:t>: Náklady na provoz vůči objemu spravovaného majetku u jednotlivých penzijních společností</w:t>
      </w:r>
      <w:bookmarkEnd w:id="170"/>
    </w:p>
    <w:p w14:paraId="12D57345" w14:textId="77777777" w:rsidR="00A03F2C" w:rsidRPr="00A03F2C" w:rsidRDefault="00A03F2C" w:rsidP="00A03F2C">
      <w:pPr>
        <w:suppressAutoHyphens w:val="0"/>
        <w:spacing w:after="160" w:line="259" w:lineRule="auto"/>
        <w:rPr>
          <w:rFonts w:eastAsia="Calibri"/>
        </w:rPr>
      </w:pPr>
      <w:r w:rsidRPr="00A03F2C">
        <w:rPr>
          <w:rFonts w:eastAsia="Calibri"/>
          <w:noProof/>
          <w:lang w:eastAsia="cs-CZ"/>
        </w:rPr>
        <w:drawing>
          <wp:inline distT="0" distB="0" distL="0" distR="0" wp14:anchorId="788B4735" wp14:editId="1237AB27">
            <wp:extent cx="5760000" cy="2880000"/>
            <wp:effectExtent l="0" t="0" r="0" b="0"/>
            <wp:docPr id="5" name="Graf 5">
              <a:extLst xmlns:a="http://schemas.openxmlformats.org/drawingml/2006/main">
                <a:ext uri="{FF2B5EF4-FFF2-40B4-BE49-F238E27FC236}">
                  <a16:creationId xmlns:a16="http://schemas.microsoft.com/office/drawing/2014/main" id="{A698D195-6D1B-428B-8160-0E898D36D11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1B3D6CA" w14:textId="77777777" w:rsidR="00A03F2C" w:rsidRPr="00A03F2C" w:rsidRDefault="00A03F2C" w:rsidP="00A03F2C">
      <w:pPr>
        <w:suppressAutoHyphens w:val="0"/>
        <w:spacing w:after="240" w:line="259" w:lineRule="auto"/>
        <w:jc w:val="right"/>
        <w:rPr>
          <w:rFonts w:eastAsia="Calibri"/>
          <w:sz w:val="18"/>
        </w:rPr>
      </w:pPr>
      <w:r w:rsidRPr="00A03F2C">
        <w:rPr>
          <w:rFonts w:eastAsia="Calibri"/>
          <w:sz w:val="18"/>
        </w:rPr>
        <w:t xml:space="preserve">Zdroj: výroční zprávy penzijních společností, </w:t>
      </w:r>
      <w:r w:rsidRPr="00E91DEC">
        <w:rPr>
          <w:rFonts w:eastAsia="Calibri"/>
          <w:sz w:val="18"/>
        </w:rPr>
        <w:t>výpočty MF a L. Nádvorníka</w:t>
      </w:r>
      <w:r w:rsidRPr="00A03F2C">
        <w:rPr>
          <w:rFonts w:eastAsia="Calibri"/>
          <w:sz w:val="18"/>
        </w:rPr>
        <w:t xml:space="preserve"> </w:t>
      </w:r>
    </w:p>
    <w:p w14:paraId="0B43CA1E" w14:textId="77777777" w:rsidR="00A03F2C" w:rsidRPr="00A03F2C" w:rsidRDefault="00A03F2C" w:rsidP="00A03F2C">
      <w:pPr>
        <w:keepNext/>
        <w:suppressAutoHyphens w:val="0"/>
        <w:spacing w:after="0" w:line="240" w:lineRule="auto"/>
        <w:rPr>
          <w:rFonts w:eastAsia="Calibri"/>
          <w:b/>
          <w:bCs/>
          <w:color w:val="4F81BD"/>
          <w:sz w:val="20"/>
          <w:szCs w:val="18"/>
        </w:rPr>
      </w:pPr>
      <w:bookmarkStart w:id="171" w:name="_Toc229664382"/>
      <w:r w:rsidRPr="00A03F2C">
        <w:rPr>
          <w:rFonts w:eastAsia="Calibri"/>
          <w:b/>
          <w:bCs/>
          <w:color w:val="4F81BD"/>
          <w:sz w:val="20"/>
          <w:szCs w:val="18"/>
        </w:rPr>
        <w:t xml:space="preserve">Graf </w:t>
      </w:r>
      <w:r w:rsidRPr="00A03F2C">
        <w:rPr>
          <w:rFonts w:eastAsia="Calibri"/>
          <w:b/>
          <w:bCs/>
          <w:color w:val="4F81BD"/>
          <w:sz w:val="20"/>
          <w:szCs w:val="18"/>
        </w:rPr>
        <w:fldChar w:fldCharType="begin"/>
      </w:r>
      <w:r w:rsidRPr="00A03F2C">
        <w:rPr>
          <w:rFonts w:eastAsia="Calibri"/>
          <w:b/>
          <w:bCs/>
          <w:color w:val="4F81BD"/>
          <w:sz w:val="20"/>
          <w:szCs w:val="18"/>
        </w:rPr>
        <w:instrText xml:space="preserve"> SEQ Graf \* ARABIC </w:instrText>
      </w:r>
      <w:r w:rsidRPr="00A03F2C">
        <w:rPr>
          <w:rFonts w:eastAsia="Calibri"/>
          <w:b/>
          <w:bCs/>
          <w:color w:val="4F81BD"/>
          <w:sz w:val="20"/>
          <w:szCs w:val="18"/>
        </w:rPr>
        <w:fldChar w:fldCharType="separate"/>
      </w:r>
      <w:r w:rsidR="00522E8A">
        <w:rPr>
          <w:rFonts w:eastAsia="Calibri"/>
          <w:b/>
          <w:bCs/>
          <w:noProof/>
          <w:color w:val="4F81BD"/>
          <w:sz w:val="20"/>
          <w:szCs w:val="18"/>
        </w:rPr>
        <w:t>5</w:t>
      </w:r>
      <w:r w:rsidRPr="00A03F2C">
        <w:rPr>
          <w:rFonts w:eastAsia="Calibri"/>
          <w:b/>
          <w:bCs/>
          <w:color w:val="4F81BD"/>
          <w:sz w:val="20"/>
          <w:szCs w:val="18"/>
        </w:rPr>
        <w:fldChar w:fldCharType="end"/>
      </w:r>
      <w:r w:rsidRPr="00A03F2C">
        <w:rPr>
          <w:rFonts w:eastAsia="Calibri"/>
          <w:b/>
          <w:bCs/>
          <w:color w:val="4F81BD"/>
          <w:sz w:val="20"/>
          <w:szCs w:val="18"/>
        </w:rPr>
        <w:t>: Náklady na správu portfolia vůči objemu spravovaného majetku u jednotlivých penzijních společností</w:t>
      </w:r>
      <w:bookmarkEnd w:id="171"/>
    </w:p>
    <w:p w14:paraId="42ADA65B" w14:textId="77777777" w:rsidR="00A03F2C" w:rsidRPr="00A03F2C" w:rsidRDefault="00A03F2C" w:rsidP="00A03F2C">
      <w:pPr>
        <w:suppressAutoHyphens w:val="0"/>
        <w:spacing w:after="160" w:line="259" w:lineRule="auto"/>
        <w:rPr>
          <w:rFonts w:eastAsia="Calibri"/>
        </w:rPr>
      </w:pPr>
      <w:r w:rsidRPr="00A03F2C">
        <w:rPr>
          <w:rFonts w:eastAsia="Calibri"/>
          <w:noProof/>
          <w:lang w:eastAsia="cs-CZ"/>
        </w:rPr>
        <w:drawing>
          <wp:inline distT="0" distB="0" distL="0" distR="0" wp14:anchorId="7CADA40C" wp14:editId="2C7B58FF">
            <wp:extent cx="5760000" cy="2880000"/>
            <wp:effectExtent l="0" t="0" r="0" b="0"/>
            <wp:docPr id="8" name="Graf 8">
              <a:extLst xmlns:a="http://schemas.openxmlformats.org/drawingml/2006/main">
                <a:ext uri="{FF2B5EF4-FFF2-40B4-BE49-F238E27FC236}">
                  <a16:creationId xmlns:a16="http://schemas.microsoft.com/office/drawing/2014/main" id="{5B431E99-E011-4D7B-9682-0389A0835F8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AD3D983" w14:textId="77777777" w:rsidR="00A03F2C" w:rsidRPr="00A03F2C" w:rsidRDefault="00A03F2C" w:rsidP="00A03F2C">
      <w:pPr>
        <w:suppressAutoHyphens w:val="0"/>
        <w:spacing w:after="160" w:line="259" w:lineRule="auto"/>
        <w:jc w:val="right"/>
        <w:rPr>
          <w:rFonts w:eastAsia="Calibri"/>
          <w:sz w:val="18"/>
        </w:rPr>
      </w:pPr>
      <w:r w:rsidRPr="00A03F2C">
        <w:rPr>
          <w:rFonts w:eastAsia="Calibri"/>
          <w:sz w:val="18"/>
        </w:rPr>
        <w:t xml:space="preserve">Zdroj: výroční zprávy penzijních </w:t>
      </w:r>
      <w:r w:rsidRPr="00E91DEC">
        <w:rPr>
          <w:rFonts w:eastAsia="Calibri"/>
          <w:sz w:val="18"/>
        </w:rPr>
        <w:t>společností, výpočty MF a L. Nádvorníka</w:t>
      </w:r>
      <w:r w:rsidRPr="00A03F2C">
        <w:rPr>
          <w:rFonts w:eastAsia="Calibri"/>
          <w:sz w:val="18"/>
        </w:rPr>
        <w:t xml:space="preserve"> </w:t>
      </w:r>
    </w:p>
    <w:p w14:paraId="22275224" w14:textId="13A929F2" w:rsidR="00D64A1B" w:rsidRDefault="00A03F2C" w:rsidP="00A03F2C">
      <w:pPr>
        <w:suppressAutoHyphens w:val="0"/>
        <w:spacing w:after="120"/>
        <w:jc w:val="both"/>
        <w:rPr>
          <w:rFonts w:eastAsia="Calibri"/>
        </w:rPr>
      </w:pPr>
      <w:r w:rsidRPr="00A03F2C">
        <w:rPr>
          <w:rFonts w:eastAsia="Calibri"/>
        </w:rPr>
        <w:t>Dopady snížení limitů úplat na výnosy penzijních společností je však třeb</w:t>
      </w:r>
      <w:r w:rsidR="007A4575">
        <w:rPr>
          <w:rFonts w:eastAsia="Calibri"/>
        </w:rPr>
        <w:t>a posuzovat ve vztahu k </w:t>
      </w:r>
      <w:r w:rsidRPr="00A03F2C">
        <w:rPr>
          <w:rFonts w:eastAsia="Calibri"/>
        </w:rPr>
        <w:t>dalším změnám navrhovaným v rámci novely zákona o doplňkovém penzijním spoření, které mohou podstatně ovlivnit budouc</w:t>
      </w:r>
      <w:r w:rsidR="00EC4F0F">
        <w:rPr>
          <w:rFonts w:eastAsia="Calibri"/>
        </w:rPr>
        <w:t>í vývoj v doplňkovém penzijním systému</w:t>
      </w:r>
      <w:r w:rsidRPr="00A03F2C">
        <w:rPr>
          <w:rFonts w:eastAsia="Calibri"/>
        </w:rPr>
        <w:t>. V souvislosti se zatraktivněním DPS pro účastníky v mladším věku lze očekávat výraznější růst jejich počtu</w:t>
      </w:r>
      <w:r w:rsidR="003B6746">
        <w:rPr>
          <w:rFonts w:eastAsia="Calibri"/>
        </w:rPr>
        <w:t xml:space="preserve"> spojeného též s</w:t>
      </w:r>
      <w:r w:rsidR="00756710">
        <w:rPr>
          <w:rFonts w:eastAsia="Calibri"/>
        </w:rPr>
        <w:t xml:space="preserve"> vyšším </w:t>
      </w:r>
      <w:r w:rsidR="000F274A">
        <w:rPr>
          <w:rFonts w:eastAsia="Calibri"/>
        </w:rPr>
        <w:t>tempem růstu</w:t>
      </w:r>
      <w:r w:rsidR="003B6746">
        <w:rPr>
          <w:rFonts w:eastAsia="Calibri"/>
        </w:rPr>
        <w:t xml:space="preserve"> objemu prostředků spravovaných penzijními společnostmi</w:t>
      </w:r>
      <w:r w:rsidR="007D7730">
        <w:rPr>
          <w:rFonts w:eastAsia="Calibri"/>
        </w:rPr>
        <w:t xml:space="preserve">. Nákladově náročnější penzijní společnosti tak </w:t>
      </w:r>
      <w:r w:rsidR="004D41C2">
        <w:rPr>
          <w:rFonts w:eastAsia="Calibri"/>
        </w:rPr>
        <w:t>budou mít</w:t>
      </w:r>
      <w:r w:rsidR="007D7730">
        <w:rPr>
          <w:rFonts w:eastAsia="Calibri"/>
        </w:rPr>
        <w:t xml:space="preserve"> možnost vyvinout větší aktivitu v akvizici nových klientů, a tím si zvyšovat </w:t>
      </w:r>
      <w:r w:rsidR="000F274A">
        <w:rPr>
          <w:rFonts w:eastAsia="Calibri"/>
        </w:rPr>
        <w:t xml:space="preserve">jak </w:t>
      </w:r>
      <w:r w:rsidR="00756710">
        <w:rPr>
          <w:rFonts w:eastAsia="Calibri"/>
        </w:rPr>
        <w:t xml:space="preserve">objem </w:t>
      </w:r>
      <w:r w:rsidR="00756710" w:rsidRPr="00A03F2C">
        <w:rPr>
          <w:rFonts w:eastAsia="Calibri"/>
        </w:rPr>
        <w:t>úplaty za obhospodařová</w:t>
      </w:r>
      <w:r w:rsidR="000F274A">
        <w:rPr>
          <w:rFonts w:eastAsia="Calibri"/>
        </w:rPr>
        <w:t>ní, tak</w:t>
      </w:r>
      <w:r w:rsidR="00756710">
        <w:rPr>
          <w:rFonts w:eastAsia="Calibri"/>
        </w:rPr>
        <w:t xml:space="preserve"> </w:t>
      </w:r>
      <w:r w:rsidR="007D7730">
        <w:rPr>
          <w:rFonts w:eastAsia="Calibri"/>
        </w:rPr>
        <w:t>zároveň dosahovat</w:t>
      </w:r>
      <w:r w:rsidR="00756710">
        <w:rPr>
          <w:rFonts w:eastAsia="Calibri"/>
        </w:rPr>
        <w:t xml:space="preserve"> vyšších úspor z</w:t>
      </w:r>
      <w:r w:rsidR="000F274A">
        <w:rPr>
          <w:rFonts w:eastAsia="Calibri"/>
        </w:rPr>
        <w:t> </w:t>
      </w:r>
      <w:r w:rsidR="00756710">
        <w:rPr>
          <w:rFonts w:eastAsia="Calibri"/>
        </w:rPr>
        <w:t>rozsahu</w:t>
      </w:r>
      <w:r w:rsidR="000F274A">
        <w:rPr>
          <w:rFonts w:eastAsia="Calibri"/>
        </w:rPr>
        <w:t xml:space="preserve">, které povedou </w:t>
      </w:r>
      <w:r w:rsidR="00D64A1B">
        <w:rPr>
          <w:rFonts w:eastAsia="Calibri"/>
        </w:rPr>
        <w:t xml:space="preserve">ke snížení </w:t>
      </w:r>
      <w:r w:rsidR="000F274A">
        <w:rPr>
          <w:rFonts w:eastAsia="Calibri"/>
        </w:rPr>
        <w:t xml:space="preserve">jejich </w:t>
      </w:r>
      <w:r w:rsidR="00D64A1B">
        <w:rPr>
          <w:rFonts w:eastAsia="Calibri"/>
        </w:rPr>
        <w:t>nákladů vůči objemu spravovaného majetku</w:t>
      </w:r>
      <w:r w:rsidR="003B6746">
        <w:rPr>
          <w:rFonts w:eastAsia="Calibri"/>
        </w:rPr>
        <w:t>.</w:t>
      </w:r>
    </w:p>
    <w:p w14:paraId="5986F9A1" w14:textId="78903B33" w:rsidR="00F779B5" w:rsidRDefault="000473B7" w:rsidP="00A03F2C">
      <w:pPr>
        <w:suppressAutoHyphens w:val="0"/>
        <w:spacing w:after="120"/>
        <w:jc w:val="both"/>
        <w:rPr>
          <w:rFonts w:eastAsia="Calibri"/>
        </w:rPr>
      </w:pPr>
      <w:r>
        <w:rPr>
          <w:rFonts w:eastAsia="Calibri"/>
        </w:rPr>
        <w:t xml:space="preserve">Další navrhovanou změnou je </w:t>
      </w:r>
      <w:r w:rsidRPr="00A03F2C">
        <w:rPr>
          <w:rFonts w:eastAsia="Calibri"/>
        </w:rPr>
        <w:t>zavedení povinné nabídky strategie životního cyklu jako výchozí investiční strategie</w:t>
      </w:r>
      <w:r>
        <w:rPr>
          <w:rFonts w:eastAsia="Calibri"/>
        </w:rPr>
        <w:t xml:space="preserve">. </w:t>
      </w:r>
      <w:r w:rsidR="000308E9" w:rsidRPr="000308E9">
        <w:rPr>
          <w:rFonts w:eastAsia="Calibri"/>
        </w:rPr>
        <w:t xml:space="preserve">Pro tuto strategii se </w:t>
      </w:r>
      <w:r w:rsidR="000308E9">
        <w:rPr>
          <w:rFonts w:eastAsia="Calibri"/>
        </w:rPr>
        <w:t xml:space="preserve">navíc </w:t>
      </w:r>
      <w:r w:rsidR="000308E9" w:rsidRPr="000308E9">
        <w:rPr>
          <w:rFonts w:eastAsia="Calibri"/>
        </w:rPr>
        <w:t xml:space="preserve">nebude vyžadovat vyplnění investičního dotazníku. </w:t>
      </w:r>
      <w:r>
        <w:rPr>
          <w:rFonts w:eastAsia="Calibri"/>
        </w:rPr>
        <w:t xml:space="preserve">Právě </w:t>
      </w:r>
      <w:r>
        <w:rPr>
          <w:rFonts w:eastAsia="Calibri"/>
        </w:rPr>
        <w:lastRenderedPageBreak/>
        <w:t xml:space="preserve">u </w:t>
      </w:r>
      <w:r w:rsidR="003B6746">
        <w:rPr>
          <w:rFonts w:eastAsia="Calibri"/>
        </w:rPr>
        <w:t>mladší</w:t>
      </w:r>
      <w:r>
        <w:rPr>
          <w:rFonts w:eastAsia="Calibri"/>
        </w:rPr>
        <w:t>ch</w:t>
      </w:r>
      <w:r w:rsidR="003B6746">
        <w:rPr>
          <w:rFonts w:eastAsia="Calibri"/>
        </w:rPr>
        <w:t xml:space="preserve"> </w:t>
      </w:r>
      <w:r w:rsidR="00A03F2C" w:rsidRPr="00A03F2C">
        <w:rPr>
          <w:rFonts w:eastAsia="Calibri"/>
        </w:rPr>
        <w:t>účastní</w:t>
      </w:r>
      <w:r w:rsidR="00D64A1B">
        <w:rPr>
          <w:rFonts w:eastAsia="Calibri"/>
        </w:rPr>
        <w:t>ků</w:t>
      </w:r>
      <w:r w:rsidR="00A03F2C" w:rsidRPr="00A03F2C">
        <w:rPr>
          <w:rFonts w:eastAsia="Calibri"/>
        </w:rPr>
        <w:t xml:space="preserve"> </w:t>
      </w:r>
      <w:r w:rsidR="00D64A1B">
        <w:rPr>
          <w:rFonts w:eastAsia="Calibri"/>
        </w:rPr>
        <w:t>lze</w:t>
      </w:r>
      <w:r w:rsidR="00A03F2C" w:rsidRPr="00A03F2C">
        <w:rPr>
          <w:rFonts w:eastAsia="Calibri"/>
        </w:rPr>
        <w:t xml:space="preserve"> </w:t>
      </w:r>
      <w:r w:rsidR="00D40094">
        <w:rPr>
          <w:rFonts w:eastAsia="Calibri"/>
        </w:rPr>
        <w:t xml:space="preserve">tak i </w:t>
      </w:r>
      <w:r w:rsidR="00A03F2C" w:rsidRPr="00A03F2C">
        <w:rPr>
          <w:rFonts w:eastAsia="Calibri"/>
        </w:rPr>
        <w:t>vzhledem k delší době, která jim zbývá do dosažení důchodového věku,</w:t>
      </w:r>
      <w:r w:rsidR="00D40094">
        <w:rPr>
          <w:rFonts w:eastAsia="Calibri"/>
        </w:rPr>
        <w:t xml:space="preserve"> s velkou pravděpodobností</w:t>
      </w:r>
      <w:r w:rsidR="00A03F2C" w:rsidRPr="00A03F2C">
        <w:rPr>
          <w:rFonts w:eastAsia="Calibri"/>
        </w:rPr>
        <w:t xml:space="preserve"> </w:t>
      </w:r>
      <w:r w:rsidR="00D64A1B">
        <w:rPr>
          <w:rFonts w:eastAsia="Calibri"/>
        </w:rPr>
        <w:t xml:space="preserve">očekávat, že budou investovat </w:t>
      </w:r>
      <w:r w:rsidR="00C51813">
        <w:rPr>
          <w:rFonts w:eastAsia="Calibri"/>
        </w:rPr>
        <w:t xml:space="preserve">své prostředky </w:t>
      </w:r>
      <w:r w:rsidR="00756710">
        <w:rPr>
          <w:rFonts w:eastAsia="Calibri"/>
        </w:rPr>
        <w:t>v rámci této strategie</w:t>
      </w:r>
      <w:r w:rsidR="00A03F2C" w:rsidRPr="00A03F2C">
        <w:rPr>
          <w:rFonts w:eastAsia="Calibri"/>
        </w:rPr>
        <w:t>.</w:t>
      </w:r>
      <w:r w:rsidR="000F274A">
        <w:rPr>
          <w:rFonts w:eastAsia="Calibri"/>
        </w:rPr>
        <w:t xml:space="preserve"> Navrhovaná podo</w:t>
      </w:r>
      <w:r w:rsidR="00C51813">
        <w:rPr>
          <w:rFonts w:eastAsia="Calibri"/>
        </w:rPr>
        <w:t>ba strategie životního cyklu přitom dává penzijním společnostem prostor vložit až</w:t>
      </w:r>
      <w:r w:rsidR="00CF62D0">
        <w:rPr>
          <w:rFonts w:eastAsia="Calibri"/>
        </w:rPr>
        <w:t xml:space="preserve"> 10 </w:t>
      </w:r>
      <w:r w:rsidR="00C51813">
        <w:rPr>
          <w:rFonts w:eastAsia="Calibri"/>
        </w:rPr>
        <w:t>% prostředků účastníka do alternativních fondů, u nichž n</w:t>
      </w:r>
      <w:r w:rsidR="004E6532">
        <w:rPr>
          <w:rFonts w:eastAsia="Calibri"/>
        </w:rPr>
        <w:t>edochází ke změně limitů úplat, přičemž limit úplaty za obhospodařování ve výši 2,5 % spolu s limitem úplaty za zhodnocení na úrovni 25 %</w:t>
      </w:r>
      <w:r w:rsidR="00C51813">
        <w:rPr>
          <w:rFonts w:eastAsia="Calibri"/>
        </w:rPr>
        <w:t xml:space="preserve"> </w:t>
      </w:r>
      <w:r w:rsidR="004E6532">
        <w:rPr>
          <w:rFonts w:eastAsia="Calibri"/>
        </w:rPr>
        <w:t>umožňuje penzijním společnost</w:t>
      </w:r>
      <w:r w:rsidR="00F779B5">
        <w:rPr>
          <w:rFonts w:eastAsia="Calibri"/>
        </w:rPr>
        <w:t xml:space="preserve">em </w:t>
      </w:r>
      <w:r w:rsidR="004E6532">
        <w:rPr>
          <w:rFonts w:eastAsia="Calibri"/>
        </w:rPr>
        <w:t>navýšit celkovou výši úplaty vůči spravovanému majetku.</w:t>
      </w:r>
      <w:r w:rsidR="00A03F2C" w:rsidRPr="00A03F2C">
        <w:rPr>
          <w:rFonts w:eastAsia="Calibri"/>
        </w:rPr>
        <w:t xml:space="preserve"> </w:t>
      </w:r>
    </w:p>
    <w:p w14:paraId="2A238B6D" w14:textId="77777777" w:rsidR="004E6532" w:rsidRPr="00A03F2C" w:rsidRDefault="00A03F2C" w:rsidP="00A03F2C">
      <w:pPr>
        <w:suppressAutoHyphens w:val="0"/>
        <w:spacing w:after="120"/>
        <w:jc w:val="both"/>
        <w:rPr>
          <w:rFonts w:eastAsia="Calibri"/>
        </w:rPr>
      </w:pPr>
      <w:r w:rsidRPr="00A03F2C">
        <w:rPr>
          <w:rFonts w:eastAsia="Calibri"/>
        </w:rPr>
        <w:t xml:space="preserve">Všechna tato uvedená </w:t>
      </w:r>
      <w:r w:rsidR="00F779B5">
        <w:rPr>
          <w:rFonts w:eastAsia="Calibri"/>
        </w:rPr>
        <w:t xml:space="preserve">nově navrhovaná </w:t>
      </w:r>
      <w:r w:rsidRPr="00A03F2C">
        <w:rPr>
          <w:rFonts w:eastAsia="Calibri"/>
        </w:rPr>
        <w:t>opatření by měla jak z hlediska předpokládaného vyššího nárůstu objemu spravovaného majetku s pozitivním dopadem na r</w:t>
      </w:r>
      <w:r w:rsidR="00C931A2">
        <w:rPr>
          <w:rFonts w:eastAsia="Calibri"/>
        </w:rPr>
        <w:t>ůst úplaty za obhospodařování a </w:t>
      </w:r>
      <w:r w:rsidRPr="00A03F2C">
        <w:rPr>
          <w:rFonts w:eastAsia="Calibri"/>
        </w:rPr>
        <w:t>dosahování úspor z</w:t>
      </w:r>
      <w:r w:rsidR="00F779B5">
        <w:rPr>
          <w:rFonts w:eastAsia="Calibri"/>
        </w:rPr>
        <w:t> </w:t>
      </w:r>
      <w:r w:rsidRPr="00A03F2C">
        <w:rPr>
          <w:rFonts w:eastAsia="Calibri"/>
        </w:rPr>
        <w:t>rozsahu</w:t>
      </w:r>
      <w:r w:rsidR="00F779B5">
        <w:rPr>
          <w:rFonts w:eastAsia="Calibri"/>
        </w:rPr>
        <w:t>, tak z hlediska vyšší motivace penzijních společností využívat alternativních fondů, jejichž zařazení je možné i v rámci výchozí strategie životního cyklu</w:t>
      </w:r>
      <w:r w:rsidR="00860412">
        <w:rPr>
          <w:rFonts w:eastAsia="Calibri"/>
        </w:rPr>
        <w:t>,</w:t>
      </w:r>
      <w:r w:rsidR="00F779B5">
        <w:rPr>
          <w:rFonts w:eastAsia="Calibri"/>
        </w:rPr>
        <w:t xml:space="preserve"> </w:t>
      </w:r>
      <w:r w:rsidR="00C931A2">
        <w:rPr>
          <w:rFonts w:eastAsia="Calibri"/>
        </w:rPr>
        <w:t>přispět k </w:t>
      </w:r>
      <w:r w:rsidRPr="00A03F2C">
        <w:rPr>
          <w:rFonts w:eastAsia="Calibri"/>
        </w:rPr>
        <w:t>růstu výnosů penzijních společností.</w:t>
      </w:r>
      <w:r w:rsidR="00EC5853">
        <w:rPr>
          <w:rFonts w:eastAsia="Calibri"/>
        </w:rPr>
        <w:t xml:space="preserve"> Tento efekt tedy bude působit proti efektu snížení zákonného maximálního limitu úplaty.</w:t>
      </w:r>
    </w:p>
    <w:p w14:paraId="30A8AAB1" w14:textId="77777777" w:rsidR="00A03F2C" w:rsidRPr="00A03F2C" w:rsidRDefault="00A03F2C" w:rsidP="00A03F2C">
      <w:pPr>
        <w:keepNext/>
        <w:keepLines/>
        <w:spacing w:before="80" w:after="120"/>
        <w:jc w:val="both"/>
        <w:rPr>
          <w:rFonts w:eastAsia="Calibri"/>
          <w:b/>
          <w:bCs/>
          <w:color w:val="4F81BD"/>
          <w:sz w:val="20"/>
          <w:szCs w:val="18"/>
        </w:rPr>
      </w:pPr>
      <w:bookmarkStart w:id="172" w:name="_Toc230006803"/>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8E01F7">
        <w:rPr>
          <w:rFonts w:eastAsia="Calibri"/>
          <w:b/>
          <w:bCs/>
          <w:noProof/>
          <w:color w:val="4F81BD"/>
          <w:sz w:val="20"/>
          <w:szCs w:val="18"/>
        </w:rPr>
        <w:t>7</w:t>
      </w:r>
      <w:r w:rsidRPr="00A03F2C">
        <w:rPr>
          <w:rFonts w:eastAsia="Calibri"/>
          <w:b/>
          <w:bCs/>
          <w:color w:val="4F81BD"/>
          <w:sz w:val="20"/>
          <w:szCs w:val="18"/>
        </w:rPr>
        <w:fldChar w:fldCharType="end"/>
      </w:r>
      <w:r w:rsidRPr="00A03F2C">
        <w:rPr>
          <w:rFonts w:eastAsia="Calibri"/>
          <w:b/>
          <w:bCs/>
          <w:color w:val="4F81BD"/>
          <w:sz w:val="20"/>
          <w:szCs w:val="18"/>
        </w:rPr>
        <w:t>: Vyhodnocení dopadů uvažovaných variant řešení snížení limitů na úplatu penzijních společností</w:t>
      </w:r>
      <w:bookmarkEnd w:id="172"/>
    </w:p>
    <w:tbl>
      <w:tblPr>
        <w:tblpPr w:leftFromText="141" w:rightFromText="141" w:vertAnchor="text" w:tblpXSpec="center" w:tblpY="1"/>
        <w:tblOverlap w:val="never"/>
        <w:tblW w:w="82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A0" w:firstRow="1" w:lastRow="0" w:firstColumn="1" w:lastColumn="0" w:noHBand="1" w:noVBand="1"/>
      </w:tblPr>
      <w:tblGrid>
        <w:gridCol w:w="5669"/>
        <w:gridCol w:w="850"/>
        <w:gridCol w:w="850"/>
        <w:gridCol w:w="851"/>
      </w:tblGrid>
      <w:tr w:rsidR="00A03F2C" w:rsidRPr="00A03F2C" w14:paraId="732879A6" w14:textId="77777777" w:rsidTr="00A03F2C">
        <w:trPr>
          <w:cantSplit/>
          <w:trHeight w:val="283"/>
        </w:trPr>
        <w:tc>
          <w:tcPr>
            <w:tcW w:w="5669" w:type="dxa"/>
            <w:vMerge w:val="restart"/>
            <w:tcBorders>
              <w:left w:val="single" w:sz="8" w:space="0" w:color="000000"/>
              <w:right w:val="single" w:sz="8" w:space="0" w:color="000000"/>
            </w:tcBorders>
            <w:shd w:val="clear" w:color="auto" w:fill="C6D9F1"/>
            <w:vAlign w:val="center"/>
            <w:hideMark/>
          </w:tcPr>
          <w:p w14:paraId="51A916D3" w14:textId="77777777" w:rsidR="00A03F2C" w:rsidRPr="00A03F2C" w:rsidRDefault="00A03F2C" w:rsidP="00A03F2C">
            <w:pPr>
              <w:keepNext/>
              <w:keepLines/>
              <w:suppressAutoHyphens w:val="0"/>
              <w:spacing w:after="0" w:line="240" w:lineRule="auto"/>
              <w:rPr>
                <w:rFonts w:eastAsia="Times New Roman"/>
                <w:b/>
                <w:bCs/>
                <w:lang w:eastAsia="cs-CZ"/>
              </w:rPr>
            </w:pPr>
            <w:r w:rsidRPr="00A03F2C">
              <w:rPr>
                <w:rFonts w:eastAsia="Times New Roman"/>
                <w:b/>
                <w:bCs/>
                <w:lang w:eastAsia="cs-CZ"/>
              </w:rPr>
              <w:t>Dopady</w:t>
            </w:r>
          </w:p>
        </w:tc>
        <w:tc>
          <w:tcPr>
            <w:tcW w:w="2551" w:type="dxa"/>
            <w:gridSpan w:val="3"/>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5EDD8447"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Varianty</w:t>
            </w:r>
          </w:p>
        </w:tc>
      </w:tr>
      <w:tr w:rsidR="00A03F2C" w:rsidRPr="00A03F2C" w14:paraId="3FACD110" w14:textId="77777777" w:rsidTr="00A03F2C">
        <w:trPr>
          <w:cantSplit/>
          <w:trHeight w:val="405"/>
        </w:trPr>
        <w:tc>
          <w:tcPr>
            <w:tcW w:w="5669" w:type="dxa"/>
            <w:vMerge/>
            <w:tcBorders>
              <w:left w:val="single" w:sz="8" w:space="0" w:color="000000"/>
              <w:bottom w:val="single" w:sz="8" w:space="0" w:color="000000"/>
              <w:right w:val="single" w:sz="8" w:space="0" w:color="000000"/>
            </w:tcBorders>
            <w:shd w:val="clear" w:color="auto" w:fill="C6D9F1"/>
            <w:vAlign w:val="center"/>
          </w:tcPr>
          <w:p w14:paraId="72CFB7AF" w14:textId="77777777" w:rsidR="00A03F2C" w:rsidRPr="00A03F2C" w:rsidRDefault="00A03F2C" w:rsidP="00A03F2C">
            <w:pPr>
              <w:keepNext/>
              <w:keepLines/>
              <w:suppressAutoHyphens w:val="0"/>
              <w:spacing w:after="0" w:line="240" w:lineRule="auto"/>
              <w:rPr>
                <w:rFonts w:eastAsia="Times New Roman"/>
                <w:b/>
                <w:bCs/>
                <w:lang w:eastAsia="cs-CZ"/>
              </w:rPr>
            </w:pP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25C6A172"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502C6968"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1</w:t>
            </w:r>
          </w:p>
        </w:tc>
        <w:tc>
          <w:tcPr>
            <w:tcW w:w="851" w:type="dxa"/>
            <w:tcBorders>
              <w:top w:val="single" w:sz="8" w:space="0" w:color="000000"/>
              <w:left w:val="single" w:sz="8" w:space="0" w:color="000000"/>
              <w:bottom w:val="single" w:sz="8" w:space="0" w:color="000000"/>
              <w:right w:val="single" w:sz="8" w:space="0" w:color="000000"/>
            </w:tcBorders>
            <w:shd w:val="clear" w:color="auto" w:fill="C6D9F1"/>
            <w:vAlign w:val="center"/>
          </w:tcPr>
          <w:p w14:paraId="52D49033"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2</w:t>
            </w:r>
          </w:p>
        </w:tc>
      </w:tr>
      <w:tr w:rsidR="00A03F2C" w:rsidRPr="00A03F2C" w14:paraId="082972AA" w14:textId="77777777" w:rsidTr="00A03F2C">
        <w:trPr>
          <w:cantSplit/>
          <w:trHeight w:val="567"/>
        </w:trPr>
        <w:tc>
          <w:tcPr>
            <w:tcW w:w="5669" w:type="dxa"/>
            <w:tcBorders>
              <w:top w:val="single" w:sz="8" w:space="0" w:color="000000"/>
              <w:left w:val="single" w:sz="8" w:space="0" w:color="000000"/>
              <w:bottom w:val="single" w:sz="8" w:space="0" w:color="000000"/>
              <w:right w:val="single" w:sz="8" w:space="0" w:color="000000"/>
            </w:tcBorders>
            <w:vAlign w:val="center"/>
          </w:tcPr>
          <w:p w14:paraId="63DD392A"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Zvýšení konečné naspořené částky</w:t>
            </w:r>
          </w:p>
        </w:tc>
        <w:tc>
          <w:tcPr>
            <w:tcW w:w="850" w:type="dxa"/>
            <w:tcBorders>
              <w:top w:val="single" w:sz="8" w:space="0" w:color="000000"/>
              <w:left w:val="single" w:sz="8" w:space="0" w:color="000000"/>
              <w:bottom w:val="single" w:sz="8" w:space="0" w:color="000000"/>
              <w:right w:val="single" w:sz="8" w:space="0" w:color="000000"/>
            </w:tcBorders>
            <w:vAlign w:val="center"/>
          </w:tcPr>
          <w:p w14:paraId="38E6DEBE"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0BFBFABD"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5CCEE4B9" w14:textId="77777777" w:rsidR="00A03F2C" w:rsidRPr="00A03F2C" w:rsidRDefault="00A03F2C" w:rsidP="00A03F2C">
            <w:pPr>
              <w:keepNext/>
              <w:keepLines/>
              <w:spacing w:before="20" w:after="20" w:line="240" w:lineRule="auto"/>
              <w:jc w:val="center"/>
            </w:pPr>
            <w:r w:rsidRPr="00A03F2C">
              <w:t>+</w:t>
            </w:r>
          </w:p>
        </w:tc>
      </w:tr>
      <w:tr w:rsidR="00A03F2C" w:rsidRPr="00A03F2C" w14:paraId="3F6FAD9D" w14:textId="77777777" w:rsidTr="00A03F2C">
        <w:trPr>
          <w:cantSplit/>
          <w:trHeight w:val="567"/>
        </w:trPr>
        <w:tc>
          <w:tcPr>
            <w:tcW w:w="5669" w:type="dxa"/>
            <w:tcBorders>
              <w:top w:val="single" w:sz="8" w:space="0" w:color="000000"/>
              <w:left w:val="single" w:sz="8" w:space="0" w:color="000000"/>
              <w:bottom w:val="single" w:sz="8" w:space="0" w:color="000000"/>
              <w:right w:val="single" w:sz="8" w:space="0" w:color="000000"/>
            </w:tcBorders>
            <w:vAlign w:val="center"/>
          </w:tcPr>
          <w:p w14:paraId="392094FD"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Snížení výnosů penzijních společností</w:t>
            </w:r>
          </w:p>
        </w:tc>
        <w:tc>
          <w:tcPr>
            <w:tcW w:w="850" w:type="dxa"/>
            <w:tcBorders>
              <w:top w:val="single" w:sz="8" w:space="0" w:color="000000"/>
              <w:left w:val="single" w:sz="8" w:space="0" w:color="000000"/>
              <w:bottom w:val="single" w:sz="8" w:space="0" w:color="000000"/>
              <w:right w:val="single" w:sz="8" w:space="0" w:color="000000"/>
            </w:tcBorders>
            <w:vAlign w:val="center"/>
          </w:tcPr>
          <w:p w14:paraId="32006E5A"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55962E43"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7D79A9B0" w14:textId="77777777" w:rsidR="00A03F2C" w:rsidRPr="00A03F2C" w:rsidRDefault="00A03F2C" w:rsidP="00A03F2C">
            <w:pPr>
              <w:keepNext/>
              <w:keepLines/>
              <w:spacing w:before="20" w:after="20" w:line="240" w:lineRule="auto"/>
              <w:jc w:val="center"/>
            </w:pPr>
            <w:r w:rsidRPr="00A03F2C">
              <w:t>-</w:t>
            </w:r>
          </w:p>
        </w:tc>
      </w:tr>
    </w:tbl>
    <w:p w14:paraId="1A96DAE9" w14:textId="77777777" w:rsidR="00A03F2C" w:rsidRPr="00A03F2C" w:rsidRDefault="00A03F2C" w:rsidP="00A03F2C">
      <w:pPr>
        <w:keepNext/>
        <w:keepLines/>
        <w:pBdr>
          <w:bottom w:val="single" w:sz="12" w:space="1" w:color="auto"/>
        </w:pBdr>
        <w:shd w:val="clear" w:color="auto" w:fill="FFFFFF"/>
        <w:suppressAutoHyphens w:val="0"/>
        <w:spacing w:before="240" w:after="60"/>
        <w:outlineLvl w:val="4"/>
        <w:rPr>
          <w:b/>
          <w:sz w:val="24"/>
        </w:rPr>
      </w:pPr>
      <w:r w:rsidRPr="00A03F2C">
        <w:rPr>
          <w:b/>
          <w:sz w:val="24"/>
        </w:rPr>
        <w:t xml:space="preserve">C) </w:t>
      </w:r>
      <w:r w:rsidRPr="00A03F2C">
        <w:rPr>
          <w:b/>
          <w:caps/>
          <w:sz w:val="24"/>
        </w:rPr>
        <w:t>Shrnutí vyhodnocení variant a výběr nejvhodnějšího řešení</w:t>
      </w:r>
    </w:p>
    <w:p w14:paraId="2858EF71" w14:textId="77777777" w:rsidR="004E4403" w:rsidRDefault="00A03F2C" w:rsidP="000A5D66">
      <w:pPr>
        <w:suppressAutoHyphens w:val="0"/>
        <w:spacing w:before="120"/>
        <w:jc w:val="both"/>
      </w:pPr>
      <w:r w:rsidRPr="00A03F2C">
        <w:t xml:space="preserve">S ohledem na cíl novely zákona spočívající ve zvýšení čistých výnosů účastníků byla na základě preference faktoru zvýšení konečné naspořené částky zvolena k implementaci </w:t>
      </w:r>
      <w:r w:rsidRPr="00A03F2C">
        <w:rPr>
          <w:b/>
        </w:rPr>
        <w:t xml:space="preserve">varianta 1 – </w:t>
      </w:r>
      <w:r w:rsidR="00FD7B16" w:rsidRPr="00FD7B16">
        <w:rPr>
          <w:b/>
        </w:rPr>
        <w:t>Snížení maximálního zákonného limitu úplaty za obhospodařování na 0,5 % bez možnosti účtování úplaty za zhodnocení u všech fondů</w:t>
      </w:r>
      <w:r w:rsidR="005C4AD0">
        <w:rPr>
          <w:b/>
        </w:rPr>
        <w:t>.</w:t>
      </w:r>
    </w:p>
    <w:p w14:paraId="76E690DF" w14:textId="77777777" w:rsidR="004E4403" w:rsidRDefault="004E4403">
      <w:pPr>
        <w:suppressAutoHyphens w:val="0"/>
        <w:spacing w:after="0" w:line="240" w:lineRule="auto"/>
      </w:pPr>
      <w:r>
        <w:br w:type="page"/>
      </w:r>
    </w:p>
    <w:p w14:paraId="0650BE84" w14:textId="77777777" w:rsidR="00A03F2C" w:rsidRPr="00A03F2C" w:rsidRDefault="00A03F2C" w:rsidP="00A03F2C">
      <w:pPr>
        <w:pBdr>
          <w:top w:val="single" w:sz="8" w:space="1" w:color="auto"/>
          <w:left w:val="single" w:sz="8" w:space="1" w:color="auto"/>
          <w:bottom w:val="single" w:sz="8" w:space="1" w:color="auto"/>
          <w:right w:val="single" w:sz="8" w:space="1" w:color="auto"/>
        </w:pBdr>
        <w:shd w:val="clear" w:color="auto" w:fill="C6D9F1"/>
        <w:suppressAutoHyphens w:val="0"/>
        <w:spacing w:after="0"/>
        <w:jc w:val="center"/>
        <w:outlineLvl w:val="2"/>
        <w:rPr>
          <w:b/>
          <w:sz w:val="32"/>
        </w:rPr>
      </w:pPr>
      <w:bookmarkStart w:id="173" w:name="_Toc229662660"/>
      <w:bookmarkStart w:id="174" w:name="_Toc231310643"/>
      <w:r w:rsidRPr="00A03F2C">
        <w:rPr>
          <w:b/>
          <w:sz w:val="32"/>
        </w:rPr>
        <w:lastRenderedPageBreak/>
        <w:t>Snížení podmínky nároku na státní příspěvek spočívající v minimální výši příspěvku účastníka u nezletilých účastníků</w:t>
      </w:r>
      <w:bookmarkEnd w:id="173"/>
      <w:bookmarkEnd w:id="174"/>
    </w:p>
    <w:p w14:paraId="62A97909" w14:textId="77777777" w:rsidR="00A03F2C" w:rsidRPr="00A03F2C" w:rsidRDefault="00A03F2C" w:rsidP="00A03F2C">
      <w:pPr>
        <w:pBdr>
          <w:bottom w:val="single" w:sz="12" w:space="1" w:color="auto"/>
        </w:pBdr>
        <w:shd w:val="clear" w:color="auto" w:fill="FFFFFF"/>
        <w:suppressAutoHyphens w:val="0"/>
        <w:spacing w:before="240" w:after="60"/>
        <w:outlineLvl w:val="4"/>
        <w:rPr>
          <w:b/>
          <w:sz w:val="24"/>
        </w:rPr>
      </w:pPr>
      <w:r w:rsidRPr="00A03F2C">
        <w:rPr>
          <w:b/>
          <w:sz w:val="24"/>
        </w:rPr>
        <w:t xml:space="preserve">A) </w:t>
      </w:r>
      <w:r w:rsidRPr="00A03F2C">
        <w:rPr>
          <w:b/>
          <w:caps/>
          <w:sz w:val="24"/>
        </w:rPr>
        <w:t>Popis problému s vymezením variant</w:t>
      </w:r>
    </w:p>
    <w:p w14:paraId="1A95391F" w14:textId="77777777" w:rsidR="00A03F2C" w:rsidRPr="00A03F2C" w:rsidRDefault="00A03F2C" w:rsidP="00A03F2C">
      <w:pPr>
        <w:spacing w:after="120"/>
        <w:jc w:val="both"/>
      </w:pPr>
      <w:r w:rsidRPr="00A03F2C">
        <w:t xml:space="preserve">Od roku 2016 zákon umožňuje, aby do systému doplňkového </w:t>
      </w:r>
      <w:r w:rsidR="00F006AA" w:rsidRPr="00A03F2C">
        <w:t xml:space="preserve">penzijního </w:t>
      </w:r>
      <w:r w:rsidRPr="00A03F2C">
        <w:t>spoření (DPS) vstupovali nezletilí účastníci, přičemž smlouvu uzavírá jejich rodič či jiná osoby jednající na základě písemné plné moci udělené jí rodičem nezletilého. K 31. 12. 2025 mělo smlouvu sjednáno celkem 170,6 tis. nezletilých účastníků, z nichž u 159,7 tis. byla v systému MF v daném období evidována výše jejich účastnického příspěvku. Z celkového počt</w:t>
      </w:r>
      <w:r w:rsidR="00EC4F0F">
        <w:t>u smluv v doplňkovém penzijním systému</w:t>
      </w:r>
      <w:r w:rsidRPr="00A03F2C">
        <w:t xml:space="preserve"> (penzijní připojištění a DPS) </w:t>
      </w:r>
      <w:r w:rsidRPr="009D2306">
        <w:t>nezletilí účastníci tvořili 4,4 %. V rámci DPS pak 7,9 % s tím, že penetrace DPS u t</w:t>
      </w:r>
      <w:r w:rsidR="006A200A" w:rsidRPr="009D2306">
        <w:t>éto věkové kategorie v roce 2025 činila 8,2</w:t>
      </w:r>
      <w:r w:rsidRPr="009D2306">
        <w:t xml:space="preserve"> %.</w:t>
      </w:r>
      <w:r w:rsidRPr="00A03F2C">
        <w:t xml:space="preserve"> </w:t>
      </w:r>
    </w:p>
    <w:p w14:paraId="69BD0E7C" w14:textId="77777777" w:rsidR="00A03F2C" w:rsidRPr="00A03F2C" w:rsidRDefault="00A03F2C" w:rsidP="00A03F2C">
      <w:pPr>
        <w:spacing w:after="120"/>
        <w:jc w:val="both"/>
        <w:rPr>
          <w:rFonts w:eastAsia="Calibri"/>
        </w:rPr>
      </w:pPr>
      <w:r w:rsidRPr="00A03F2C">
        <w:t xml:space="preserve">Od 1. 7. 2024 došlo u nezletilých účastníků, stejně jako u ostatních </w:t>
      </w:r>
      <w:r w:rsidR="00EC4F0F">
        <w:t>účastníků doplňkového penzijního systému</w:t>
      </w:r>
      <w:r w:rsidRPr="00A03F2C">
        <w:t xml:space="preserve"> ke </w:t>
      </w:r>
      <w:r w:rsidRPr="00A03F2C">
        <w:rPr>
          <w:rFonts w:eastAsia="Calibri"/>
        </w:rPr>
        <w:t xml:space="preserve">změně v poskytování státního příspěvku, která spočívala v nastavení lineární výše státního příspěvku na úrovni 20 % z příspěvku účastníka, zvýšení minimální výše příspěvku účastníka pro přiznání státního příspěvku z 300 Kč na 500 Kč a zvýšení maximální výše příspěvku účastníka, nad kterou státní příspěvek dále neroste, z 1 000 Kč na 1 700 Kč. Maximální výše státního příspěvku se tedy zvýšila z původních 230 Kč na 340 Kč. Na tuto změnu nezletilí účastníci již ve velké míře reagovali. Zatímco ke konci roku 2023 si 44,4 % nezletilých účastníků ukládalo měsíční příspěvek 300 Kč (tedy nejnižší možnou výši pro přiznání státního příspěvku) a u 23,6 % nezletilých účastníků dosahoval jejich měsíční příspěvek úrovně 500 Kč, ke konci roku 2025 byl příspěvek </w:t>
      </w:r>
      <w:r w:rsidR="00EC4F0F">
        <w:rPr>
          <w:rFonts w:eastAsia="Calibri"/>
        </w:rPr>
        <w:t>300 Kč nadále zaznamenán u 18,3 </w:t>
      </w:r>
      <w:r w:rsidRPr="00A03F2C">
        <w:rPr>
          <w:rFonts w:eastAsia="Calibri"/>
        </w:rPr>
        <w:t xml:space="preserve">% nezletilých účastníků, kteří tak ztratili nárok na státní příspěvek, a příspěvek 500 Kč si ukládalo 45,4 % nezletilých účastníků. Z hlediska ostatních věkových kategorií dosahuje měsíční příspěvek nezletilých účastníků častěji spíše nízké výše, když přibližně u tří čtvrtin nezletilých účastníků nepřesahuje jejich měsíční příspěvek 599 Kč, u 17,6 % nezletilých účastníků se jejich příspěvek pohybuje v rozmezí 600 až 1 699 Kč (nejčastěji, 12,7 %, s příspěvkem 1 000 Kč) a pouze u 5,4 % nezletilých účastníků je jejich příspěvek vyšší než 1 700 Kč, a mají tak nárok na nejvyšší možný státní příspěvek ve výši 340 Kč. </w:t>
      </w:r>
    </w:p>
    <w:p w14:paraId="14E19C0B" w14:textId="77777777" w:rsidR="00A03F2C" w:rsidRPr="00A03F2C" w:rsidRDefault="00A03F2C" w:rsidP="00A03F2C">
      <w:pPr>
        <w:spacing w:after="120"/>
        <w:jc w:val="both"/>
        <w:rPr>
          <w:rFonts w:eastAsia="Calibri"/>
        </w:rPr>
      </w:pPr>
      <w:r w:rsidRPr="00A03F2C">
        <w:rPr>
          <w:rFonts w:eastAsia="Calibri"/>
        </w:rPr>
        <w:t>Od účinnosti změny v poskytování státního příspěvku lze však zaznamenat jistý pokles v růstu počtu nezletilých účastníků. V letech 2022 a 2023 rostl počet nezletilých účastníků průměrným mezičtvrtletním tempem růstu 4,6 %, naproti tomu od 3. čtvrtletí 2024 do konce roku 2025 se mezičtvrtletní tempo růstu snížilo na 2,1 %. Rovněž počet nových nezletilých účastníků v roce 2025 (21,2 </w:t>
      </w:r>
      <w:r w:rsidR="00F006AA">
        <w:rPr>
          <w:rFonts w:eastAsia="Calibri"/>
        </w:rPr>
        <w:t>tis.</w:t>
      </w:r>
      <w:r w:rsidR="000072B6">
        <w:rPr>
          <w:rFonts w:eastAsia="Calibri"/>
        </w:rPr>
        <w:t> </w:t>
      </w:r>
      <w:r w:rsidRPr="00A03F2C">
        <w:rPr>
          <w:rFonts w:eastAsia="Calibri"/>
        </w:rPr>
        <w:t>osob), byl nižší než počty nových nezletilých účastníků v letech 2022 a 2023 (26,4</w:t>
      </w:r>
      <w:r w:rsidR="00092B02">
        <w:rPr>
          <w:rFonts w:eastAsia="Calibri"/>
        </w:rPr>
        <w:t> </w:t>
      </w:r>
      <w:r w:rsidR="00F006AA">
        <w:rPr>
          <w:rFonts w:eastAsia="Calibri"/>
        </w:rPr>
        <w:t>tis.</w:t>
      </w:r>
      <w:r w:rsidRPr="00A03F2C">
        <w:rPr>
          <w:rFonts w:eastAsia="Calibri"/>
        </w:rPr>
        <w:t>, resp. 29,1 </w:t>
      </w:r>
      <w:r w:rsidR="00F006AA">
        <w:rPr>
          <w:rFonts w:eastAsia="Calibri"/>
        </w:rPr>
        <w:t xml:space="preserve">tis. </w:t>
      </w:r>
      <w:r w:rsidRPr="00A03F2C">
        <w:rPr>
          <w:rFonts w:eastAsia="Calibri"/>
        </w:rPr>
        <w:t xml:space="preserve">osob). </w:t>
      </w:r>
    </w:p>
    <w:p w14:paraId="2E2C022D" w14:textId="77777777" w:rsidR="00A03F2C" w:rsidRPr="00A03F2C" w:rsidRDefault="00A03F2C" w:rsidP="00A03F2C">
      <w:pPr>
        <w:spacing w:after="120"/>
        <w:jc w:val="both"/>
        <w:rPr>
          <w:rFonts w:eastAsia="Calibri"/>
        </w:rPr>
      </w:pPr>
      <w:r w:rsidRPr="00A03F2C">
        <w:rPr>
          <w:rFonts w:eastAsia="Calibri"/>
        </w:rPr>
        <w:t xml:space="preserve">Vzhledem k poklesu nárůstu počtu nezletilých účastníků po navýšení minimální výše příspěvku účastníka pro přiznání státního příspěvku z 300 Kč na 500 Kč a v souvislosti s tím, že velká část nezletilých účastníků si ukládá nejnižší možný příspěvek s nárokem na státní podporu, přičemž téměř 32 % nezletilých účastníků kvůli jejich nižšímu příspěvku než 500 Kč v současnosti dokonce nemá nárok na státní příspěvek, lze uvažovat v souladu s cílem prodloužení doby spoření prostřednictvím zvýšení zapojení mladších věkových kategorií o tom, jak motivovat nezletilé účastníky ke vstupu do systému DPS. Jednou ze zvažovaných změn u nezletilých účastníků je snížení podmínky nároku na státní příspěvek spočívající v minimální výši příspěvku, a tím umožnit čerpání státního příspěvku i nezletilým účastníkům, jejichž rodiče či jiná osoba platí nebo se rozhodnou platit příspěvky nižší než 500 Kč měsíčně. </w:t>
      </w:r>
    </w:p>
    <w:p w14:paraId="695C4A51" w14:textId="77777777" w:rsidR="00A03F2C" w:rsidRPr="00A03F2C" w:rsidRDefault="00A03F2C" w:rsidP="00A03F2C">
      <w:pPr>
        <w:keepNext/>
        <w:spacing w:after="120"/>
        <w:jc w:val="both"/>
        <w:rPr>
          <w:rFonts w:eastAsia="Calibri"/>
        </w:rPr>
      </w:pPr>
      <w:r w:rsidRPr="00A03F2C">
        <w:rPr>
          <w:rFonts w:eastAsia="Calibri"/>
        </w:rPr>
        <w:lastRenderedPageBreak/>
        <w:t>Jsou zvažovány 3 varianty řešení:</w:t>
      </w:r>
    </w:p>
    <w:p w14:paraId="149BFAB1" w14:textId="77777777" w:rsidR="00A03F2C" w:rsidRPr="00A03F2C" w:rsidRDefault="00A03F2C" w:rsidP="008D0578">
      <w:pPr>
        <w:numPr>
          <w:ilvl w:val="0"/>
          <w:numId w:val="44"/>
        </w:numPr>
        <w:suppressAutoHyphens w:val="0"/>
        <w:spacing w:after="80" w:line="259" w:lineRule="auto"/>
        <w:ind w:left="527" w:hanging="357"/>
        <w:jc w:val="both"/>
        <w:rPr>
          <w:rFonts w:eastAsia="Calibri"/>
        </w:rPr>
      </w:pPr>
      <w:r w:rsidRPr="00BA7E70">
        <w:rPr>
          <w:rFonts w:eastAsia="Calibri"/>
          <w:b/>
        </w:rPr>
        <w:t>Varianta 0</w:t>
      </w:r>
      <w:r w:rsidRPr="00A03F2C">
        <w:rPr>
          <w:rFonts w:eastAsia="Calibri"/>
        </w:rPr>
        <w:t>: Ponechání minimální výše příspěvku účastníka pro nárok na státní příspěvek</w:t>
      </w:r>
    </w:p>
    <w:p w14:paraId="3EED160B" w14:textId="77777777" w:rsidR="00A03F2C" w:rsidRPr="00A03F2C" w:rsidRDefault="00A03F2C" w:rsidP="008D0578">
      <w:pPr>
        <w:numPr>
          <w:ilvl w:val="0"/>
          <w:numId w:val="44"/>
        </w:numPr>
        <w:suppressAutoHyphens w:val="0"/>
        <w:spacing w:after="80" w:line="259" w:lineRule="auto"/>
        <w:ind w:left="527" w:hanging="357"/>
        <w:jc w:val="both"/>
        <w:rPr>
          <w:rFonts w:eastAsia="Calibri"/>
        </w:rPr>
      </w:pPr>
      <w:r w:rsidRPr="00BA7E70">
        <w:rPr>
          <w:rFonts w:eastAsia="Calibri"/>
          <w:b/>
        </w:rPr>
        <w:t>Varianta 1</w:t>
      </w:r>
      <w:r w:rsidRPr="00A03F2C">
        <w:rPr>
          <w:rFonts w:eastAsia="Calibri"/>
        </w:rPr>
        <w:t>: Snížení minimální výše příspěvku účastníka pro nárok na státní příspěvek na 300 Kč</w:t>
      </w:r>
    </w:p>
    <w:p w14:paraId="28737140" w14:textId="77777777" w:rsidR="00A03F2C" w:rsidRPr="00A03F2C" w:rsidRDefault="00A03F2C" w:rsidP="008D0578">
      <w:pPr>
        <w:numPr>
          <w:ilvl w:val="0"/>
          <w:numId w:val="44"/>
        </w:numPr>
        <w:suppressAutoHyphens w:val="0"/>
        <w:spacing w:after="80" w:line="259" w:lineRule="auto"/>
        <w:ind w:left="527" w:hanging="357"/>
        <w:jc w:val="both"/>
        <w:rPr>
          <w:rFonts w:eastAsia="Calibri"/>
        </w:rPr>
      </w:pPr>
      <w:r w:rsidRPr="00BA7E70">
        <w:rPr>
          <w:rFonts w:eastAsia="Calibri"/>
          <w:b/>
        </w:rPr>
        <w:t>Varianta 2</w:t>
      </w:r>
      <w:r w:rsidRPr="00A03F2C">
        <w:rPr>
          <w:rFonts w:eastAsia="Calibri"/>
        </w:rPr>
        <w:t xml:space="preserve">: Snížení minimální výše příspěvku účastníka pro nárok na státní příspěvek na 100 Kč </w:t>
      </w:r>
    </w:p>
    <w:p w14:paraId="6FCC6223" w14:textId="77777777" w:rsidR="00A03F2C" w:rsidRPr="00A03F2C" w:rsidRDefault="00A03F2C" w:rsidP="00A03F2C">
      <w:pPr>
        <w:keepNext/>
        <w:pBdr>
          <w:bottom w:val="single" w:sz="12" w:space="1" w:color="auto"/>
        </w:pBdr>
        <w:shd w:val="clear" w:color="auto" w:fill="FFFFFF"/>
        <w:suppressAutoHyphens w:val="0"/>
        <w:spacing w:before="240" w:after="60"/>
        <w:outlineLvl w:val="4"/>
        <w:rPr>
          <w:b/>
          <w:sz w:val="24"/>
        </w:rPr>
      </w:pPr>
      <w:r w:rsidRPr="00A03F2C">
        <w:rPr>
          <w:b/>
          <w:sz w:val="24"/>
        </w:rPr>
        <w:t xml:space="preserve">B) </w:t>
      </w:r>
      <w:r w:rsidRPr="00A03F2C">
        <w:rPr>
          <w:b/>
          <w:caps/>
          <w:sz w:val="24"/>
        </w:rPr>
        <w:t>Popis variant a identifikace a vyhodnocení jejich nákladů a přínosů</w:t>
      </w:r>
    </w:p>
    <w:p w14:paraId="0EDDDA45" w14:textId="77777777" w:rsidR="00A03F2C" w:rsidRPr="00A03F2C" w:rsidRDefault="00A03F2C" w:rsidP="00D466E2">
      <w:pPr>
        <w:keepNext/>
        <w:spacing w:before="120" w:after="120"/>
        <w:jc w:val="both"/>
        <w:rPr>
          <w:b/>
          <w:color w:val="1F497D"/>
          <w:lang w:eastAsia="cs-CZ"/>
        </w:rPr>
      </w:pPr>
      <w:r w:rsidRPr="00A03F2C">
        <w:rPr>
          <w:rFonts w:cs="Calibri"/>
          <w:b/>
          <w:color w:val="1F497D"/>
          <w:lang w:eastAsia="cs-CZ"/>
        </w:rPr>
        <w:t>Varianta 0: Ponechání minimální výše příspěvku účastníka pro nárok na státní příspěvek (500 Kč)</w:t>
      </w:r>
    </w:p>
    <w:p w14:paraId="700B3ECA" w14:textId="77777777" w:rsidR="00A03F2C" w:rsidRPr="00A03F2C" w:rsidRDefault="00A03F2C" w:rsidP="00A03F2C">
      <w:pPr>
        <w:spacing w:after="120"/>
        <w:jc w:val="both"/>
      </w:pPr>
      <w:r w:rsidRPr="00A03F2C">
        <w:t>V této variantě je zachován stávající stav, kdy minimální výše příspěvku účastníka pro nárok na státní příspěvek činí 500 Kč bez ohledu na věk účastníka.</w:t>
      </w:r>
    </w:p>
    <w:p w14:paraId="7A74AE49" w14:textId="77777777" w:rsidR="00A03F2C" w:rsidRPr="00A03F2C" w:rsidRDefault="00A03F2C" w:rsidP="00A03F2C">
      <w:pPr>
        <w:spacing w:after="120"/>
        <w:jc w:val="both"/>
        <w:rPr>
          <w:rFonts w:cs="Calibri"/>
          <w:b/>
          <w:color w:val="1F497D"/>
          <w:lang w:eastAsia="cs-CZ"/>
        </w:rPr>
      </w:pPr>
      <w:r w:rsidRPr="00A03F2C">
        <w:rPr>
          <w:rFonts w:cs="Calibri"/>
          <w:b/>
          <w:color w:val="1F497D"/>
          <w:lang w:eastAsia="cs-CZ"/>
        </w:rPr>
        <w:t>Varianta 1: Snížení minimální výše příspěvku účastníka pro nárok na státní příspěvek na 300 Kč</w:t>
      </w:r>
    </w:p>
    <w:p w14:paraId="694F1DBA" w14:textId="77777777" w:rsidR="00A03F2C" w:rsidRPr="00A03F2C" w:rsidRDefault="00A03F2C" w:rsidP="00A03F2C">
      <w:pPr>
        <w:spacing w:after="120"/>
        <w:jc w:val="both"/>
      </w:pPr>
      <w:r w:rsidRPr="00A03F2C">
        <w:t>Tato varianta předpokládá u nezletilých účastníků částečný návrat k podmínkám nároku na státní příspěvek před uskutečněním změny v poskytování státního příspěvku účinné od 1. 7. 2024. Nezletilí účastníci by tak znovu měli nárok na státní příspěvek v případě, že si ukládají alespoň 300 Kč. Minimální výše státního příspěvku by však nebyla 90 Kč, jako tomu bylo do 30. 6. 2024, ale 60 Kč na základě současného nastavení lineární výše státního příspěvku na úrovni 20 % z příspěvku účastníka, k jejíž změně by u nezletilých účastníků nedocházelo. Stejně tak by zůstala nezměněna maximální výše příspěvku účastníka (1 700 Kč), nad kterou státní příspěvek dále neroste.</w:t>
      </w:r>
    </w:p>
    <w:p w14:paraId="1B34687A" w14:textId="77777777" w:rsidR="00A03F2C" w:rsidRPr="00A03F2C" w:rsidRDefault="00A03F2C" w:rsidP="00A03F2C">
      <w:pPr>
        <w:spacing w:after="120"/>
        <w:jc w:val="both"/>
        <w:rPr>
          <w:rFonts w:cs="Calibri"/>
          <w:b/>
          <w:color w:val="1F497D"/>
          <w:lang w:eastAsia="cs-CZ"/>
        </w:rPr>
      </w:pPr>
      <w:r w:rsidRPr="00A03F2C">
        <w:rPr>
          <w:rFonts w:cs="Calibri"/>
          <w:b/>
          <w:color w:val="1F497D"/>
          <w:lang w:eastAsia="cs-CZ"/>
        </w:rPr>
        <w:t>Varianta 2: Snížení minimální výše příspěvku účastníka pro nárok na státní příspěvek na 100 Kč</w:t>
      </w:r>
    </w:p>
    <w:p w14:paraId="4498C61E" w14:textId="77777777" w:rsidR="00A03F2C" w:rsidRPr="00A03F2C" w:rsidRDefault="00A03F2C" w:rsidP="00A03F2C">
      <w:pPr>
        <w:spacing w:after="120"/>
        <w:jc w:val="both"/>
      </w:pPr>
      <w:r w:rsidRPr="00A03F2C">
        <w:t>Varianta 2 se od varianty 1 liší pouze ve vyšším snížení minimální výše příspěvku účastníka pro nárok na státní příspěvek, a to na 100 Kč. Toto snížení by znamenalo částečný návrat k podmínkám nároku na státní příspěvek před uskutečněním změny účinné od začátku roku 2013. Minimální výše příspěvku by však nebyla 50 Kč, jako tomu bylo do 31. 12. 2012, ale 20 Kč na základě současného nastavení lineární procentuální výše státního příspěvku na úrovni 20 % z příspěvku účastníka.</w:t>
      </w:r>
    </w:p>
    <w:p w14:paraId="33F556C6" w14:textId="77777777" w:rsidR="00A03F2C" w:rsidRPr="00A03F2C" w:rsidRDefault="00A03F2C" w:rsidP="00A03F2C">
      <w:pPr>
        <w:spacing w:before="80" w:after="120"/>
        <w:jc w:val="both"/>
        <w:rPr>
          <w:rFonts w:eastAsia="Calibri"/>
          <w:b/>
          <w:color w:val="1F497D"/>
          <w:lang w:eastAsia="cs-CZ"/>
        </w:rPr>
      </w:pPr>
      <w:r w:rsidRPr="00A03F2C">
        <w:rPr>
          <w:rFonts w:eastAsia="Calibri"/>
          <w:b/>
          <w:color w:val="1F497D"/>
          <w:lang w:eastAsia="cs-CZ"/>
        </w:rPr>
        <w:t>Identifikace a vyhodnocení nákladů a přínosů jednotlivých variant</w:t>
      </w:r>
    </w:p>
    <w:p w14:paraId="660EB6A7" w14:textId="77777777" w:rsidR="00A03F2C" w:rsidRPr="00A03F2C" w:rsidRDefault="00A03F2C" w:rsidP="00A03F2C">
      <w:pPr>
        <w:spacing w:after="120"/>
        <w:jc w:val="both"/>
      </w:pPr>
      <w:r w:rsidRPr="00A03F2C">
        <w:t xml:space="preserve">Přínosem varianty 1 a varianty 2 je umožnění čerpání státního příspěvku i nezletilým účastníkům, jejichž rodiče či jiná osoba </w:t>
      </w:r>
      <w:r w:rsidRPr="00A03F2C">
        <w:rPr>
          <w:rFonts w:eastAsia="Calibri"/>
        </w:rPr>
        <w:t xml:space="preserve">platí nebo se rozhodnou platit příspěvky nižší než </w:t>
      </w:r>
      <w:r w:rsidRPr="00A03F2C">
        <w:t>500 Kč měsíčně, což obecně reflektuje vyšší finanční zátěž domácností s dětmi. Snížení minimální výše příspěvku účastníka pro nárok na státní příspěvek by jednak odemklo nárok na státní příspěvek již stávajícím nezletilým účastníkům a jednak by mohlo přimět k vstupu další nezletilé účastníky. V případě varianty 1 by nárok na státní příspěvek získalo 19,2 % nezletilých účastníků, jejichž účastnický příspěvek k 31. 12. 2025 činil 300 až 499 Kč měsíčně. Ve variantě 2 by byl nárok na státní příspěvek nově přiznán 24,7 % nezletilým účastníků, kteří si k 31. 12. 2025 ukládali příspěvek ve výši 100 až 499 Kč. Ve variantě 2 lze rovněž předpokládat, že by mohla přimět ke vstupu do systému DPS vyšší počet nových účastníků, než varianta 1. Vstup do systému v nižším věku je žádoucí z hlediska dostatečné výše celkové naspořené částky. I přesto, že v dosažených 18 letech účastníka může být naspořená částka velmi nízká, lze očekávat, že účastník již v systému DPS zůstane a bude pokračovat v investování a postupně bude zvyšovat i výši svých měsíčních příspěvků.</w:t>
      </w:r>
    </w:p>
    <w:p w14:paraId="5D8224DE" w14:textId="77777777" w:rsidR="00A03F2C" w:rsidRPr="00A03F2C" w:rsidRDefault="00A03F2C" w:rsidP="00A03F2C">
      <w:pPr>
        <w:spacing w:after="120"/>
        <w:jc w:val="both"/>
      </w:pPr>
      <w:r w:rsidRPr="00A03F2C">
        <w:t xml:space="preserve">Nákladem snížení minimální výše příspěvku účastníka pro nárok na státní příspěvek je zvýšení výdajů státního rozpočtu na státní příspěvek. Vyšší výdaje státního rozpočtu budou jednak spojeny s přiznáním nároku na státní příspěvek stávajícím účastníkům a jednak se jejich kvantifikace bude dále odvíjet od intenzity reakce rodičů ohledně zapojení jejich dětí do systému DPS. Intenzita této reakce je </w:t>
      </w:r>
      <w:r w:rsidRPr="00A03F2C">
        <w:lastRenderedPageBreak/>
        <w:t>obtížně predikovatelná, neboť bude záviset na ekonomické situaci jednotlivých účastníků. Z tohoto důvodu je při porovnání dopadů navýšení výdajů státního rozpočtu použita analýza citlivosti s několika zvolenými rozsahy reakce. Vzhledem k tomu, že účinnost případné změny minimální výše příspěvku účastníka pro nárok na státní příspěvek by mohla být nejdříve od 1. 1. 2027 a státní příspěvek za dané čtvrtletí je vyplácen vždy zpětně až v průběhu následujícího čtvrtletí, dopady změny by se plně projevily až v celkové přímé podpoře vyplacené v roce 2028. Státní podpora vyplacená v roce 2027 bude totiž v sobě zahrnovat státní příspěvky, které účastníkům přísluší za 4. čtvrtletí 2026, a jejichž výše tak bude ještě určena na základě současného nastavení poskytování státní podpory.</w:t>
      </w:r>
    </w:p>
    <w:p w14:paraId="64CD50AE" w14:textId="77777777" w:rsidR="00A03F2C" w:rsidRPr="00A03F2C" w:rsidRDefault="00A03F2C" w:rsidP="00A03F2C">
      <w:pPr>
        <w:spacing w:after="120"/>
        <w:jc w:val="both"/>
      </w:pPr>
      <w:r w:rsidRPr="00A03F2C">
        <w:t xml:space="preserve">V analýze citlivosti je modelována výše výdajů ze státního rozpočtu v závislosti na dodatečném mezičtvrtletním růstu </w:t>
      </w:r>
      <w:r w:rsidR="00C103C3">
        <w:t xml:space="preserve">celkového </w:t>
      </w:r>
      <w:r w:rsidRPr="00A03F2C">
        <w:t xml:space="preserve">počtu nezletilých účastníků vůči zachování současného stavu. Dodatečný mezičtvrtletní růst </w:t>
      </w:r>
      <w:r w:rsidR="00C103C3">
        <w:t xml:space="preserve">celkového </w:t>
      </w:r>
      <w:r w:rsidRPr="00A03F2C">
        <w:t xml:space="preserve">počtu nezletilých účastníků ve variantě 1 by se </w:t>
      </w:r>
      <w:r w:rsidR="00C103C3">
        <w:t xml:space="preserve">následně </w:t>
      </w:r>
      <w:r w:rsidR="00155F8E">
        <w:t xml:space="preserve">celý </w:t>
      </w:r>
      <w:r w:rsidRPr="00A03F2C">
        <w:t xml:space="preserve">projevil v nárůstu počtu účastníků s měsíčním příspěvkem ve výši 300 Kč. Ve variantě 2 je uvažován dodatečný mezičtvrtletní růst </w:t>
      </w:r>
      <w:r w:rsidR="00C103C3">
        <w:t xml:space="preserve">celkového počtu </w:t>
      </w:r>
      <w:r w:rsidRPr="00A03F2C">
        <w:t xml:space="preserve">nezletilých účastníků, který by se projevil v nárůstu počtu účastníků s měsíčním příspěvkem ve výši 300 Kč, a další dodatečný mezičtvrtletní růst </w:t>
      </w:r>
      <w:r w:rsidR="00C103C3">
        <w:t xml:space="preserve">celkového počtu </w:t>
      </w:r>
      <w:r w:rsidRPr="00A03F2C">
        <w:t xml:space="preserve">nezletilých účastníků, který by se projevil v nárůstu počtu účastníků s měsíčním příspěvkem ve výši 100 Kč. Dodatečné mezičtvrtletní růsty ve variantě 2 se sčítají. </w:t>
      </w:r>
    </w:p>
    <w:p w14:paraId="339D22F7" w14:textId="77777777" w:rsidR="00A03F2C" w:rsidRDefault="00A03F2C" w:rsidP="00A03F2C">
      <w:pPr>
        <w:spacing w:after="120"/>
        <w:jc w:val="both"/>
      </w:pPr>
      <w:r w:rsidRPr="00A03F2C">
        <w:t xml:space="preserve">Dodatečné mezičtvrtletní růsty oproti současnému stavu jsou vyjádřené v p. b., a to konkrétně pro hodnoty 0 p. b., 1 p. b., 2 p. b., 3 p. b., 4 p. b. a 5 p. b. Dopady jsou modelovány jen pro rok 2028, který představuje první rok, v němž se změna nastavení státního příspěvku plně projeví v rámci rozpočtového výdaje. Předpokládaný budoucí vývoj současného stavu, tj. varianty 0, je brán jako základní scénář s mezičtvrtletním růstem </w:t>
      </w:r>
      <w:r w:rsidR="001D5449">
        <w:t xml:space="preserve">celkového </w:t>
      </w:r>
      <w:r w:rsidRPr="00A03F2C">
        <w:t xml:space="preserve">počtu nezletilých účastníků určeného na základě průměrného mezičtvrtletního tempa růstu od 3. čtvrtletí 2024 do konce roku 2025 ve výši 2,1 % a s pokračováním trendu vývoje procentních podílů jednotlivých kategorií nezletilých účastníků </w:t>
      </w:r>
      <w:r w:rsidR="001D5449">
        <w:t>podle výše příspěvku započatého</w:t>
      </w:r>
      <w:r w:rsidRPr="00A03F2C">
        <w:t xml:space="preserve"> v roce 2025 již po změně poskytování státního příspěvku. Změny ve variantách 1 a 2 jsou potom vždy uvažovány na pozadí tohoto základního scénáře. </w:t>
      </w:r>
    </w:p>
    <w:p w14:paraId="2E532BF5" w14:textId="77777777" w:rsidR="00F64E29" w:rsidRPr="00A03F2C" w:rsidRDefault="00F64E29" w:rsidP="00A03F2C">
      <w:pPr>
        <w:spacing w:after="120"/>
        <w:jc w:val="both"/>
      </w:pPr>
      <w:r w:rsidRPr="00A03F2C">
        <w:t>Výdaj státního rozpočtu na příspěvky nezletilých účastníků při předpokládaném budoucím vývoji současného stavu je odhadován v roce 2028 na 273,3 mil. Kč. V obou variantách výdaj státního rozpočtu při žádném dodatečném růstu (tj. 0 p.</w:t>
      </w:r>
      <w:r w:rsidRPr="00A03F2C">
        <w:rPr>
          <w:rFonts w:eastAsia="Calibri"/>
        </w:rPr>
        <w:t> </w:t>
      </w:r>
      <w:r w:rsidRPr="00A03F2C">
        <w:t>b.) představuje výdaj státního rozpočtu zohledňující pouze nárůst výdajů spojený s přiznáním nároku na státní příspěvek stávajících účastníků při předpokládaném budoucím vývoji počtu účastníků dle současného stavu (mezičtvrtletní růstu o 2,1 %). Přiznání nároku na státní příspěvek stávajících účastníků zvyšuje ve variantě 1 výdaj státního rozpočtu o 11,1 mil. Kč</w:t>
      </w:r>
      <w:r w:rsidR="001A3925">
        <w:t xml:space="preserve"> (tj. 284,4 -</w:t>
      </w:r>
      <w:r>
        <w:t xml:space="preserve"> 273,3 mil. Kč)</w:t>
      </w:r>
      <w:r w:rsidRPr="00A03F2C">
        <w:t>, ve variantě 2 o 14,6 mil. Kč</w:t>
      </w:r>
      <w:r w:rsidR="001A3925">
        <w:t xml:space="preserve"> (tj. 287,8 -</w:t>
      </w:r>
      <w:r>
        <w:t xml:space="preserve"> 273,3 mil. Kč)</w:t>
      </w:r>
      <w:r w:rsidRPr="00A03F2C">
        <w:t xml:space="preserve">. </w:t>
      </w:r>
    </w:p>
    <w:p w14:paraId="47CA21C2" w14:textId="77777777" w:rsidR="00A03F2C" w:rsidRPr="00A03F2C" w:rsidRDefault="00A03F2C" w:rsidP="009D52C4">
      <w:pPr>
        <w:spacing w:before="80" w:after="120" w:line="259" w:lineRule="auto"/>
        <w:jc w:val="both"/>
        <w:rPr>
          <w:rFonts w:eastAsia="Calibri"/>
          <w:b/>
          <w:bCs/>
          <w:color w:val="4F81BD"/>
          <w:sz w:val="20"/>
          <w:szCs w:val="18"/>
        </w:rPr>
      </w:pPr>
      <w:bookmarkStart w:id="175" w:name="_Toc230006804"/>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8</w:t>
      </w:r>
      <w:r w:rsidRPr="00A03F2C">
        <w:rPr>
          <w:rFonts w:eastAsia="Calibri"/>
          <w:b/>
          <w:bCs/>
          <w:color w:val="4F81BD"/>
          <w:sz w:val="20"/>
          <w:szCs w:val="18"/>
        </w:rPr>
        <w:fldChar w:fldCharType="end"/>
      </w:r>
      <w:r w:rsidRPr="00A03F2C">
        <w:rPr>
          <w:rFonts w:eastAsia="Calibri"/>
          <w:b/>
          <w:bCs/>
          <w:color w:val="4F81BD"/>
          <w:sz w:val="20"/>
          <w:szCs w:val="18"/>
        </w:rPr>
        <w:t>: Dopady uvažovaných variant řešení snížení podmínky nároku na státní příspěvek spočívající v minimální výši příspěvku účastníka u nezletilých účastníků na státní rozpočet</w:t>
      </w:r>
      <w:bookmarkEnd w:id="175"/>
    </w:p>
    <w:tbl>
      <w:tblPr>
        <w:tblStyle w:val="Mkatabulky3"/>
        <w:tblW w:w="0" w:type="auto"/>
        <w:jc w:val="center"/>
        <w:tblLayout w:type="fixed"/>
        <w:tblLook w:val="04A0" w:firstRow="1" w:lastRow="0" w:firstColumn="1" w:lastColumn="0" w:noHBand="0" w:noVBand="1"/>
      </w:tblPr>
      <w:tblGrid>
        <w:gridCol w:w="1887"/>
        <w:gridCol w:w="781"/>
        <w:gridCol w:w="806"/>
        <w:gridCol w:w="806"/>
        <w:gridCol w:w="806"/>
        <w:gridCol w:w="806"/>
        <w:gridCol w:w="806"/>
        <w:gridCol w:w="798"/>
        <w:gridCol w:w="8"/>
      </w:tblGrid>
      <w:tr w:rsidR="00A03F2C" w:rsidRPr="00A03F2C" w14:paraId="557E04B3" w14:textId="77777777" w:rsidTr="00A03F2C">
        <w:trPr>
          <w:jc w:val="center"/>
        </w:trPr>
        <w:tc>
          <w:tcPr>
            <w:tcW w:w="6698" w:type="dxa"/>
            <w:gridSpan w:val="7"/>
            <w:tcBorders>
              <w:top w:val="nil"/>
              <w:left w:val="nil"/>
              <w:right w:val="nil"/>
            </w:tcBorders>
            <w:vAlign w:val="bottom"/>
          </w:tcPr>
          <w:p w14:paraId="307DDB75" w14:textId="77777777" w:rsidR="00A03F2C" w:rsidRPr="00A03F2C" w:rsidRDefault="00A03F2C" w:rsidP="00A03F2C">
            <w:pPr>
              <w:spacing w:after="0"/>
              <w:rPr>
                <w:b/>
                <w:i/>
              </w:rPr>
            </w:pPr>
            <w:r w:rsidRPr="00A03F2C">
              <w:rPr>
                <w:b/>
                <w:i/>
              </w:rPr>
              <w:t>Výdaje státního rozpočtu v roce 2028 ve variantě 1</w:t>
            </w:r>
          </w:p>
        </w:tc>
        <w:tc>
          <w:tcPr>
            <w:tcW w:w="806" w:type="dxa"/>
            <w:gridSpan w:val="2"/>
            <w:tcBorders>
              <w:top w:val="nil"/>
              <w:left w:val="nil"/>
              <w:right w:val="nil"/>
            </w:tcBorders>
          </w:tcPr>
          <w:p w14:paraId="6758D205" w14:textId="77777777" w:rsidR="00A03F2C" w:rsidRPr="00A03F2C" w:rsidRDefault="00A03F2C" w:rsidP="00A03F2C">
            <w:pPr>
              <w:spacing w:after="0"/>
              <w:rPr>
                <w:b/>
                <w:i/>
              </w:rPr>
            </w:pPr>
          </w:p>
        </w:tc>
      </w:tr>
      <w:tr w:rsidR="00A03F2C" w:rsidRPr="00A03F2C" w14:paraId="0D6C174E" w14:textId="77777777" w:rsidTr="00A03F2C">
        <w:trPr>
          <w:jc w:val="center"/>
        </w:trPr>
        <w:tc>
          <w:tcPr>
            <w:tcW w:w="2668" w:type="dxa"/>
            <w:gridSpan w:val="2"/>
            <w:vMerge w:val="restart"/>
            <w:shd w:val="clear" w:color="auto" w:fill="C6D9F1"/>
          </w:tcPr>
          <w:p w14:paraId="5E871CAB" w14:textId="77777777" w:rsidR="00A03F2C" w:rsidRPr="00A03F2C" w:rsidRDefault="00A03F2C" w:rsidP="00A03F2C">
            <w:pPr>
              <w:spacing w:before="20" w:after="20"/>
              <w:jc w:val="both"/>
            </w:pPr>
            <w:r w:rsidRPr="00A03F2C">
              <w:t xml:space="preserve">v mil. Kč </w:t>
            </w:r>
          </w:p>
        </w:tc>
        <w:tc>
          <w:tcPr>
            <w:tcW w:w="4836" w:type="dxa"/>
            <w:gridSpan w:val="7"/>
            <w:tcBorders>
              <w:bottom w:val="single" w:sz="4" w:space="0" w:color="auto"/>
            </w:tcBorders>
            <w:shd w:val="clear" w:color="auto" w:fill="C6D9F1"/>
            <w:vAlign w:val="center"/>
          </w:tcPr>
          <w:p w14:paraId="0063BD91" w14:textId="77777777" w:rsidR="00A03F2C" w:rsidRPr="00A03F2C" w:rsidRDefault="00A03F2C" w:rsidP="00A03F2C">
            <w:pPr>
              <w:spacing w:before="20" w:after="20"/>
              <w:jc w:val="center"/>
              <w:rPr>
                <w:b/>
              </w:rPr>
            </w:pPr>
            <w:r w:rsidRPr="00A03F2C">
              <w:rPr>
                <w:b/>
              </w:rPr>
              <w:t>Dodatečný růst počtu účastníků (příspěvek 300 Kč)</w:t>
            </w:r>
          </w:p>
        </w:tc>
      </w:tr>
      <w:tr w:rsidR="00A03F2C" w:rsidRPr="00A03F2C" w14:paraId="5A750937" w14:textId="77777777" w:rsidTr="00A03F2C">
        <w:trPr>
          <w:jc w:val="center"/>
        </w:trPr>
        <w:tc>
          <w:tcPr>
            <w:tcW w:w="2668" w:type="dxa"/>
            <w:gridSpan w:val="2"/>
            <w:vMerge/>
            <w:shd w:val="clear" w:color="auto" w:fill="C6D9F1"/>
          </w:tcPr>
          <w:p w14:paraId="06C6C496" w14:textId="77777777" w:rsidR="00A03F2C" w:rsidRPr="00A03F2C" w:rsidRDefault="00A03F2C" w:rsidP="00A03F2C">
            <w:pPr>
              <w:spacing w:before="20" w:after="20"/>
              <w:jc w:val="both"/>
            </w:pPr>
          </w:p>
        </w:tc>
        <w:tc>
          <w:tcPr>
            <w:tcW w:w="806" w:type="dxa"/>
            <w:tcBorders>
              <w:bottom w:val="single" w:sz="4" w:space="0" w:color="auto"/>
            </w:tcBorders>
            <w:shd w:val="clear" w:color="auto" w:fill="C6D9F1"/>
            <w:vAlign w:val="center"/>
          </w:tcPr>
          <w:p w14:paraId="127067A6" w14:textId="77777777" w:rsidR="00A03F2C" w:rsidRPr="00A03F2C" w:rsidRDefault="00A03F2C" w:rsidP="00A03F2C">
            <w:pPr>
              <w:spacing w:before="20" w:after="20"/>
              <w:jc w:val="center"/>
              <w:rPr>
                <w:b/>
              </w:rPr>
            </w:pPr>
            <w:r w:rsidRPr="00A03F2C">
              <w:rPr>
                <w:b/>
              </w:rPr>
              <w:t>0 p. b.</w:t>
            </w:r>
          </w:p>
        </w:tc>
        <w:tc>
          <w:tcPr>
            <w:tcW w:w="806" w:type="dxa"/>
            <w:tcBorders>
              <w:bottom w:val="single" w:sz="4" w:space="0" w:color="auto"/>
            </w:tcBorders>
            <w:shd w:val="clear" w:color="auto" w:fill="C6D9F1"/>
            <w:vAlign w:val="center"/>
          </w:tcPr>
          <w:p w14:paraId="7D44F6F7" w14:textId="77777777" w:rsidR="00A03F2C" w:rsidRPr="00A03F2C" w:rsidRDefault="00A03F2C" w:rsidP="00A03F2C">
            <w:pPr>
              <w:spacing w:before="20" w:after="20"/>
              <w:jc w:val="center"/>
              <w:rPr>
                <w:b/>
              </w:rPr>
            </w:pPr>
            <w:r w:rsidRPr="00A03F2C">
              <w:rPr>
                <w:b/>
              </w:rPr>
              <w:t>1 p. b.</w:t>
            </w:r>
          </w:p>
        </w:tc>
        <w:tc>
          <w:tcPr>
            <w:tcW w:w="806" w:type="dxa"/>
            <w:tcBorders>
              <w:bottom w:val="single" w:sz="4" w:space="0" w:color="auto"/>
            </w:tcBorders>
            <w:shd w:val="clear" w:color="auto" w:fill="C6D9F1"/>
            <w:vAlign w:val="center"/>
          </w:tcPr>
          <w:p w14:paraId="59C365CF" w14:textId="77777777" w:rsidR="00A03F2C" w:rsidRPr="00A03F2C" w:rsidRDefault="00A03F2C" w:rsidP="00A03F2C">
            <w:pPr>
              <w:spacing w:before="20" w:after="20"/>
              <w:jc w:val="center"/>
              <w:rPr>
                <w:b/>
              </w:rPr>
            </w:pPr>
            <w:r w:rsidRPr="00A03F2C">
              <w:rPr>
                <w:b/>
              </w:rPr>
              <w:t>2 p. b.</w:t>
            </w:r>
          </w:p>
        </w:tc>
        <w:tc>
          <w:tcPr>
            <w:tcW w:w="806" w:type="dxa"/>
            <w:tcBorders>
              <w:bottom w:val="single" w:sz="4" w:space="0" w:color="auto"/>
            </w:tcBorders>
            <w:shd w:val="clear" w:color="auto" w:fill="C6D9F1"/>
            <w:vAlign w:val="center"/>
          </w:tcPr>
          <w:p w14:paraId="3825A0D3" w14:textId="77777777" w:rsidR="00A03F2C" w:rsidRPr="00A03F2C" w:rsidRDefault="00A03F2C" w:rsidP="00A03F2C">
            <w:pPr>
              <w:spacing w:before="20" w:after="20"/>
              <w:jc w:val="center"/>
              <w:rPr>
                <w:b/>
              </w:rPr>
            </w:pPr>
            <w:r w:rsidRPr="00A03F2C">
              <w:rPr>
                <w:b/>
              </w:rPr>
              <w:t>3 p. b.</w:t>
            </w:r>
          </w:p>
        </w:tc>
        <w:tc>
          <w:tcPr>
            <w:tcW w:w="806" w:type="dxa"/>
            <w:tcBorders>
              <w:bottom w:val="single" w:sz="4" w:space="0" w:color="auto"/>
            </w:tcBorders>
            <w:shd w:val="clear" w:color="auto" w:fill="C6D9F1"/>
            <w:vAlign w:val="center"/>
          </w:tcPr>
          <w:p w14:paraId="16978457" w14:textId="77777777" w:rsidR="00A03F2C" w:rsidRPr="00A03F2C" w:rsidRDefault="00A03F2C" w:rsidP="00A03F2C">
            <w:pPr>
              <w:spacing w:before="20" w:after="20"/>
              <w:jc w:val="center"/>
              <w:rPr>
                <w:b/>
              </w:rPr>
            </w:pPr>
            <w:r w:rsidRPr="00A03F2C">
              <w:rPr>
                <w:b/>
              </w:rPr>
              <w:t>4 p. b.</w:t>
            </w:r>
          </w:p>
        </w:tc>
        <w:tc>
          <w:tcPr>
            <w:tcW w:w="806" w:type="dxa"/>
            <w:gridSpan w:val="2"/>
            <w:tcBorders>
              <w:bottom w:val="single" w:sz="4" w:space="0" w:color="auto"/>
            </w:tcBorders>
            <w:shd w:val="clear" w:color="auto" w:fill="C6D9F1"/>
          </w:tcPr>
          <w:p w14:paraId="4DBCAE3C" w14:textId="77777777" w:rsidR="00A03F2C" w:rsidRPr="00A03F2C" w:rsidRDefault="00A03F2C" w:rsidP="00A03F2C">
            <w:pPr>
              <w:spacing w:before="20" w:after="20"/>
              <w:jc w:val="center"/>
              <w:rPr>
                <w:b/>
              </w:rPr>
            </w:pPr>
            <w:r w:rsidRPr="00A03F2C">
              <w:rPr>
                <w:b/>
              </w:rPr>
              <w:t>5 p. b.</w:t>
            </w:r>
          </w:p>
        </w:tc>
      </w:tr>
      <w:tr w:rsidR="00A03F2C" w:rsidRPr="00A03F2C" w14:paraId="77D7170F" w14:textId="77777777" w:rsidTr="00D466E2">
        <w:trPr>
          <w:trHeight w:val="964"/>
          <w:jc w:val="center"/>
        </w:trPr>
        <w:tc>
          <w:tcPr>
            <w:tcW w:w="1887" w:type="dxa"/>
            <w:tcBorders>
              <w:bottom w:val="single" w:sz="4" w:space="0" w:color="auto"/>
            </w:tcBorders>
            <w:shd w:val="clear" w:color="auto" w:fill="C6D9F1"/>
            <w:vAlign w:val="center"/>
          </w:tcPr>
          <w:p w14:paraId="56EF5F84" w14:textId="77777777" w:rsidR="00A03F2C" w:rsidRPr="00A03F2C" w:rsidRDefault="00A03F2C" w:rsidP="00A03F2C">
            <w:pPr>
              <w:spacing w:before="20" w:after="20"/>
              <w:jc w:val="center"/>
              <w:rPr>
                <w:b/>
              </w:rPr>
            </w:pPr>
            <w:r w:rsidRPr="00A03F2C">
              <w:rPr>
                <w:b/>
              </w:rPr>
              <w:t xml:space="preserve">Dodatečný růst </w:t>
            </w:r>
          </w:p>
          <w:p w14:paraId="3830314E" w14:textId="77777777" w:rsidR="00A03F2C" w:rsidRPr="00A03F2C" w:rsidRDefault="00A03F2C" w:rsidP="00A03F2C">
            <w:pPr>
              <w:spacing w:before="20" w:after="20"/>
              <w:jc w:val="center"/>
              <w:rPr>
                <w:b/>
              </w:rPr>
            </w:pPr>
            <w:r w:rsidRPr="00A03F2C">
              <w:rPr>
                <w:b/>
              </w:rPr>
              <w:t xml:space="preserve">počtu účastníků </w:t>
            </w:r>
          </w:p>
          <w:p w14:paraId="2BE05BD2" w14:textId="77777777" w:rsidR="00A03F2C" w:rsidRPr="00A03F2C" w:rsidRDefault="00A03F2C" w:rsidP="00A03F2C">
            <w:pPr>
              <w:spacing w:before="20" w:after="20"/>
              <w:jc w:val="center"/>
              <w:rPr>
                <w:b/>
              </w:rPr>
            </w:pPr>
            <w:r w:rsidRPr="00A03F2C">
              <w:rPr>
                <w:b/>
              </w:rPr>
              <w:t>(příspěvek 100 Kč)</w:t>
            </w:r>
          </w:p>
        </w:tc>
        <w:tc>
          <w:tcPr>
            <w:tcW w:w="781" w:type="dxa"/>
            <w:tcBorders>
              <w:bottom w:val="single" w:sz="4" w:space="0" w:color="auto"/>
            </w:tcBorders>
            <w:shd w:val="clear" w:color="auto" w:fill="C6D9F1"/>
            <w:vAlign w:val="center"/>
          </w:tcPr>
          <w:p w14:paraId="592F6300" w14:textId="77777777" w:rsidR="00A03F2C" w:rsidRPr="00A03F2C" w:rsidRDefault="00A03F2C" w:rsidP="00A03F2C">
            <w:pPr>
              <w:spacing w:before="20" w:after="20"/>
              <w:jc w:val="center"/>
              <w:rPr>
                <w:b/>
              </w:rPr>
            </w:pPr>
            <w:r w:rsidRPr="00A03F2C">
              <w:rPr>
                <w:b/>
              </w:rPr>
              <w:t>0 p. b.</w:t>
            </w:r>
          </w:p>
        </w:tc>
        <w:tc>
          <w:tcPr>
            <w:tcW w:w="806" w:type="dxa"/>
            <w:tcBorders>
              <w:top w:val="single" w:sz="4" w:space="0" w:color="auto"/>
              <w:left w:val="nil"/>
              <w:bottom w:val="nil"/>
              <w:right w:val="single" w:sz="4" w:space="0" w:color="auto"/>
            </w:tcBorders>
            <w:shd w:val="clear" w:color="auto" w:fill="auto"/>
            <w:vAlign w:val="center"/>
          </w:tcPr>
          <w:p w14:paraId="09F5DD6E"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284,4</w:t>
            </w:r>
          </w:p>
        </w:tc>
        <w:tc>
          <w:tcPr>
            <w:tcW w:w="806" w:type="dxa"/>
            <w:tcBorders>
              <w:top w:val="single" w:sz="4" w:space="0" w:color="auto"/>
              <w:left w:val="single" w:sz="4" w:space="0" w:color="auto"/>
              <w:bottom w:val="nil"/>
              <w:right w:val="single" w:sz="4" w:space="0" w:color="auto"/>
            </w:tcBorders>
            <w:shd w:val="clear" w:color="auto" w:fill="auto"/>
            <w:vAlign w:val="center"/>
          </w:tcPr>
          <w:p w14:paraId="383C840D"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292,1</w:t>
            </w:r>
          </w:p>
        </w:tc>
        <w:tc>
          <w:tcPr>
            <w:tcW w:w="806" w:type="dxa"/>
            <w:tcBorders>
              <w:top w:val="single" w:sz="4" w:space="0" w:color="auto"/>
              <w:left w:val="single" w:sz="4" w:space="0" w:color="auto"/>
              <w:bottom w:val="nil"/>
              <w:right w:val="single" w:sz="4" w:space="0" w:color="auto"/>
            </w:tcBorders>
            <w:shd w:val="clear" w:color="auto" w:fill="auto"/>
            <w:vAlign w:val="center"/>
          </w:tcPr>
          <w:p w14:paraId="04A2BE51" w14:textId="77777777" w:rsidR="00A03F2C" w:rsidRPr="00A03F2C" w:rsidRDefault="00A03F2C" w:rsidP="00A03F2C">
            <w:pPr>
              <w:suppressAutoHyphens w:val="0"/>
              <w:spacing w:after="0" w:line="240" w:lineRule="auto"/>
              <w:jc w:val="center"/>
              <w:rPr>
                <w:rFonts w:cs="Calibri"/>
                <w:color w:val="C00000"/>
              </w:rPr>
            </w:pPr>
            <w:r w:rsidRPr="00A03F2C">
              <w:rPr>
                <w:rFonts w:cs="Calibri"/>
                <w:color w:val="C00000"/>
              </w:rPr>
              <w:t>300,2</w:t>
            </w:r>
          </w:p>
        </w:tc>
        <w:tc>
          <w:tcPr>
            <w:tcW w:w="806" w:type="dxa"/>
            <w:tcBorders>
              <w:top w:val="single" w:sz="4" w:space="0" w:color="auto"/>
              <w:left w:val="single" w:sz="4" w:space="0" w:color="auto"/>
              <w:bottom w:val="nil"/>
              <w:right w:val="single" w:sz="4" w:space="0" w:color="auto"/>
            </w:tcBorders>
            <w:shd w:val="clear" w:color="auto" w:fill="auto"/>
            <w:vAlign w:val="center"/>
          </w:tcPr>
          <w:p w14:paraId="726BE9DD" w14:textId="77777777" w:rsidR="00A03F2C" w:rsidRPr="00A03F2C" w:rsidRDefault="00A03F2C" w:rsidP="00A03F2C">
            <w:pPr>
              <w:suppressAutoHyphens w:val="0"/>
              <w:spacing w:after="0" w:line="240" w:lineRule="auto"/>
              <w:jc w:val="center"/>
              <w:rPr>
                <w:rFonts w:cs="Calibri"/>
                <w:color w:val="C00000"/>
              </w:rPr>
            </w:pPr>
            <w:r w:rsidRPr="00A03F2C">
              <w:rPr>
                <w:rFonts w:cs="Calibri"/>
                <w:color w:val="C00000"/>
              </w:rPr>
              <w:t>308,7</w:t>
            </w:r>
          </w:p>
        </w:tc>
        <w:tc>
          <w:tcPr>
            <w:tcW w:w="806" w:type="dxa"/>
            <w:tcBorders>
              <w:top w:val="single" w:sz="4" w:space="0" w:color="auto"/>
              <w:left w:val="single" w:sz="4" w:space="0" w:color="auto"/>
              <w:bottom w:val="nil"/>
              <w:right w:val="single" w:sz="4" w:space="0" w:color="auto"/>
            </w:tcBorders>
            <w:shd w:val="clear" w:color="auto" w:fill="auto"/>
            <w:vAlign w:val="center"/>
          </w:tcPr>
          <w:p w14:paraId="30F7A538"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317,5</w:t>
            </w:r>
          </w:p>
        </w:tc>
        <w:tc>
          <w:tcPr>
            <w:tcW w:w="806" w:type="dxa"/>
            <w:gridSpan w:val="2"/>
            <w:tcBorders>
              <w:top w:val="single" w:sz="4" w:space="0" w:color="auto"/>
              <w:left w:val="single" w:sz="4" w:space="0" w:color="auto"/>
              <w:bottom w:val="nil"/>
              <w:right w:val="single" w:sz="4" w:space="0" w:color="auto"/>
            </w:tcBorders>
            <w:shd w:val="clear" w:color="auto" w:fill="auto"/>
            <w:vAlign w:val="center"/>
          </w:tcPr>
          <w:p w14:paraId="278A1868"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326,8</w:t>
            </w:r>
          </w:p>
        </w:tc>
      </w:tr>
      <w:tr w:rsidR="00A03F2C" w:rsidRPr="00A03F2C" w14:paraId="3DDAA1F4" w14:textId="77777777" w:rsidTr="00D466E2">
        <w:trPr>
          <w:gridAfter w:val="1"/>
          <w:wAfter w:w="8" w:type="dxa"/>
          <w:trHeight w:val="20"/>
          <w:jc w:val="center"/>
        </w:trPr>
        <w:tc>
          <w:tcPr>
            <w:tcW w:w="7496" w:type="dxa"/>
            <w:gridSpan w:val="8"/>
            <w:tcBorders>
              <w:left w:val="nil"/>
              <w:bottom w:val="nil"/>
              <w:right w:val="nil"/>
            </w:tcBorders>
          </w:tcPr>
          <w:p w14:paraId="119C8D05" w14:textId="77777777" w:rsidR="00A03F2C" w:rsidRPr="008D0578" w:rsidRDefault="00A03F2C" w:rsidP="00A03F2C">
            <w:pPr>
              <w:spacing w:after="120"/>
              <w:jc w:val="both"/>
              <w:rPr>
                <w:sz w:val="2"/>
              </w:rPr>
            </w:pPr>
          </w:p>
        </w:tc>
      </w:tr>
      <w:tr w:rsidR="00A03F2C" w:rsidRPr="00A03F2C" w14:paraId="20BAF516" w14:textId="77777777" w:rsidTr="00A03F2C">
        <w:trPr>
          <w:jc w:val="center"/>
        </w:trPr>
        <w:tc>
          <w:tcPr>
            <w:tcW w:w="6698" w:type="dxa"/>
            <w:gridSpan w:val="7"/>
            <w:tcBorders>
              <w:top w:val="nil"/>
              <w:left w:val="nil"/>
              <w:right w:val="nil"/>
            </w:tcBorders>
          </w:tcPr>
          <w:p w14:paraId="0783DCC5" w14:textId="77777777" w:rsidR="00A03F2C" w:rsidRPr="00A03F2C" w:rsidRDefault="00A03F2C" w:rsidP="00F64E29">
            <w:pPr>
              <w:keepNext/>
              <w:keepLines/>
              <w:spacing w:after="0"/>
              <w:jc w:val="both"/>
              <w:rPr>
                <w:b/>
                <w:i/>
              </w:rPr>
            </w:pPr>
            <w:r w:rsidRPr="00A03F2C">
              <w:rPr>
                <w:b/>
                <w:i/>
              </w:rPr>
              <w:lastRenderedPageBreak/>
              <w:t>Výdaje státního rozpočtu v roce 2028 ve variantě 2</w:t>
            </w:r>
          </w:p>
        </w:tc>
        <w:tc>
          <w:tcPr>
            <w:tcW w:w="806" w:type="dxa"/>
            <w:gridSpan w:val="2"/>
            <w:tcBorders>
              <w:top w:val="nil"/>
              <w:left w:val="nil"/>
              <w:right w:val="nil"/>
            </w:tcBorders>
          </w:tcPr>
          <w:p w14:paraId="68B91DD9" w14:textId="77777777" w:rsidR="00A03F2C" w:rsidRPr="00A03F2C" w:rsidRDefault="00A03F2C" w:rsidP="00F64E29">
            <w:pPr>
              <w:keepNext/>
              <w:keepLines/>
              <w:spacing w:after="0"/>
              <w:jc w:val="both"/>
              <w:rPr>
                <w:b/>
                <w:i/>
              </w:rPr>
            </w:pPr>
          </w:p>
        </w:tc>
      </w:tr>
      <w:tr w:rsidR="00A03F2C" w:rsidRPr="00A03F2C" w14:paraId="4FF23641" w14:textId="77777777" w:rsidTr="00A03F2C">
        <w:trPr>
          <w:jc w:val="center"/>
        </w:trPr>
        <w:tc>
          <w:tcPr>
            <w:tcW w:w="2668" w:type="dxa"/>
            <w:gridSpan w:val="2"/>
            <w:vMerge w:val="restart"/>
            <w:shd w:val="clear" w:color="auto" w:fill="C6D9F1"/>
          </w:tcPr>
          <w:p w14:paraId="3F590C02" w14:textId="77777777" w:rsidR="00A03F2C" w:rsidRPr="00A03F2C" w:rsidRDefault="00A03F2C" w:rsidP="00F64E29">
            <w:pPr>
              <w:keepNext/>
              <w:keepLines/>
              <w:spacing w:before="20" w:after="20"/>
              <w:jc w:val="both"/>
            </w:pPr>
            <w:r w:rsidRPr="00A03F2C">
              <w:t>v mil. Kč</w:t>
            </w:r>
          </w:p>
        </w:tc>
        <w:tc>
          <w:tcPr>
            <w:tcW w:w="4836" w:type="dxa"/>
            <w:gridSpan w:val="7"/>
            <w:shd w:val="clear" w:color="auto" w:fill="C6D9F1"/>
          </w:tcPr>
          <w:p w14:paraId="562E7959" w14:textId="77777777" w:rsidR="00A03F2C" w:rsidRPr="00A03F2C" w:rsidRDefault="00A03F2C" w:rsidP="00F64E29">
            <w:pPr>
              <w:keepNext/>
              <w:keepLines/>
              <w:spacing w:before="20" w:after="20"/>
              <w:jc w:val="both"/>
              <w:rPr>
                <w:b/>
              </w:rPr>
            </w:pPr>
            <w:r w:rsidRPr="00A03F2C">
              <w:rPr>
                <w:b/>
              </w:rPr>
              <w:t>Dodatečný růst počtu účastníků (příspěvek 300 Kč)</w:t>
            </w:r>
          </w:p>
        </w:tc>
      </w:tr>
      <w:tr w:rsidR="00A03F2C" w:rsidRPr="00A03F2C" w14:paraId="77B9EEFF" w14:textId="77777777" w:rsidTr="00A03F2C">
        <w:trPr>
          <w:jc w:val="center"/>
        </w:trPr>
        <w:tc>
          <w:tcPr>
            <w:tcW w:w="2668" w:type="dxa"/>
            <w:gridSpan w:val="2"/>
            <w:vMerge/>
            <w:shd w:val="clear" w:color="auto" w:fill="C6D9F1"/>
          </w:tcPr>
          <w:p w14:paraId="1A183D2C" w14:textId="77777777" w:rsidR="00A03F2C" w:rsidRPr="00A03F2C" w:rsidRDefault="00A03F2C" w:rsidP="00F64E29">
            <w:pPr>
              <w:keepNext/>
              <w:keepLines/>
              <w:spacing w:before="20" w:after="20"/>
              <w:jc w:val="both"/>
            </w:pPr>
          </w:p>
        </w:tc>
        <w:tc>
          <w:tcPr>
            <w:tcW w:w="806" w:type="dxa"/>
            <w:tcBorders>
              <w:bottom w:val="single" w:sz="4" w:space="0" w:color="auto"/>
            </w:tcBorders>
            <w:shd w:val="clear" w:color="auto" w:fill="C6D9F1"/>
            <w:vAlign w:val="center"/>
          </w:tcPr>
          <w:p w14:paraId="2EEF877E" w14:textId="77777777" w:rsidR="00A03F2C" w:rsidRPr="00A03F2C" w:rsidRDefault="00A03F2C" w:rsidP="00F64E29">
            <w:pPr>
              <w:keepNext/>
              <w:keepLines/>
              <w:spacing w:before="20" w:after="20"/>
              <w:jc w:val="center"/>
              <w:rPr>
                <w:b/>
              </w:rPr>
            </w:pPr>
            <w:r w:rsidRPr="00A03F2C">
              <w:rPr>
                <w:b/>
              </w:rPr>
              <w:t>0 p. b.</w:t>
            </w:r>
          </w:p>
        </w:tc>
        <w:tc>
          <w:tcPr>
            <w:tcW w:w="806" w:type="dxa"/>
            <w:tcBorders>
              <w:bottom w:val="single" w:sz="4" w:space="0" w:color="auto"/>
            </w:tcBorders>
            <w:shd w:val="clear" w:color="auto" w:fill="C6D9F1"/>
            <w:vAlign w:val="center"/>
          </w:tcPr>
          <w:p w14:paraId="362DC3B1" w14:textId="77777777" w:rsidR="00A03F2C" w:rsidRPr="00A03F2C" w:rsidRDefault="00A03F2C" w:rsidP="00F64E29">
            <w:pPr>
              <w:keepNext/>
              <w:keepLines/>
              <w:spacing w:before="20" w:after="20"/>
              <w:jc w:val="center"/>
              <w:rPr>
                <w:b/>
              </w:rPr>
            </w:pPr>
            <w:r w:rsidRPr="00A03F2C">
              <w:rPr>
                <w:b/>
              </w:rPr>
              <w:t>1 p. b.</w:t>
            </w:r>
          </w:p>
        </w:tc>
        <w:tc>
          <w:tcPr>
            <w:tcW w:w="806" w:type="dxa"/>
            <w:tcBorders>
              <w:bottom w:val="single" w:sz="4" w:space="0" w:color="auto"/>
            </w:tcBorders>
            <w:shd w:val="clear" w:color="auto" w:fill="C6D9F1"/>
            <w:vAlign w:val="center"/>
          </w:tcPr>
          <w:p w14:paraId="14B92BC1" w14:textId="77777777" w:rsidR="00A03F2C" w:rsidRPr="00A03F2C" w:rsidRDefault="00A03F2C" w:rsidP="00F64E29">
            <w:pPr>
              <w:keepNext/>
              <w:keepLines/>
              <w:spacing w:before="20" w:after="20"/>
              <w:jc w:val="center"/>
              <w:rPr>
                <w:b/>
              </w:rPr>
            </w:pPr>
            <w:r w:rsidRPr="00A03F2C">
              <w:rPr>
                <w:b/>
              </w:rPr>
              <w:t xml:space="preserve">2 p. b. </w:t>
            </w:r>
          </w:p>
        </w:tc>
        <w:tc>
          <w:tcPr>
            <w:tcW w:w="806" w:type="dxa"/>
            <w:tcBorders>
              <w:bottom w:val="single" w:sz="4" w:space="0" w:color="auto"/>
            </w:tcBorders>
            <w:shd w:val="clear" w:color="auto" w:fill="C6D9F1"/>
            <w:vAlign w:val="center"/>
          </w:tcPr>
          <w:p w14:paraId="1ED04569" w14:textId="77777777" w:rsidR="00A03F2C" w:rsidRPr="00A03F2C" w:rsidRDefault="00A03F2C" w:rsidP="00F64E29">
            <w:pPr>
              <w:keepNext/>
              <w:keepLines/>
              <w:spacing w:before="20" w:after="20"/>
              <w:jc w:val="center"/>
              <w:rPr>
                <w:b/>
              </w:rPr>
            </w:pPr>
            <w:r w:rsidRPr="00A03F2C">
              <w:rPr>
                <w:b/>
              </w:rPr>
              <w:t>3 p. b.</w:t>
            </w:r>
          </w:p>
        </w:tc>
        <w:tc>
          <w:tcPr>
            <w:tcW w:w="806" w:type="dxa"/>
            <w:tcBorders>
              <w:bottom w:val="single" w:sz="4" w:space="0" w:color="auto"/>
            </w:tcBorders>
            <w:shd w:val="clear" w:color="auto" w:fill="C6D9F1"/>
            <w:vAlign w:val="center"/>
          </w:tcPr>
          <w:p w14:paraId="37038CC2" w14:textId="77777777" w:rsidR="00A03F2C" w:rsidRPr="00A03F2C" w:rsidRDefault="00A03F2C" w:rsidP="00F64E29">
            <w:pPr>
              <w:keepNext/>
              <w:keepLines/>
              <w:spacing w:before="20" w:after="20"/>
              <w:jc w:val="center"/>
              <w:rPr>
                <w:b/>
              </w:rPr>
            </w:pPr>
            <w:r w:rsidRPr="00A03F2C">
              <w:rPr>
                <w:b/>
              </w:rPr>
              <w:t>4 p. b.</w:t>
            </w:r>
          </w:p>
        </w:tc>
        <w:tc>
          <w:tcPr>
            <w:tcW w:w="806" w:type="dxa"/>
            <w:gridSpan w:val="2"/>
            <w:tcBorders>
              <w:bottom w:val="single" w:sz="4" w:space="0" w:color="auto"/>
            </w:tcBorders>
            <w:shd w:val="clear" w:color="auto" w:fill="C6D9F1"/>
          </w:tcPr>
          <w:p w14:paraId="1E3BD07C" w14:textId="77777777" w:rsidR="00A03F2C" w:rsidRPr="00A03F2C" w:rsidRDefault="00A03F2C" w:rsidP="00F64E29">
            <w:pPr>
              <w:keepNext/>
              <w:keepLines/>
              <w:spacing w:before="20" w:after="20"/>
              <w:jc w:val="center"/>
              <w:rPr>
                <w:b/>
              </w:rPr>
            </w:pPr>
            <w:r w:rsidRPr="00A03F2C">
              <w:rPr>
                <w:b/>
              </w:rPr>
              <w:t>5 p. b.</w:t>
            </w:r>
          </w:p>
        </w:tc>
      </w:tr>
      <w:tr w:rsidR="00A03F2C" w:rsidRPr="00A03F2C" w14:paraId="189EAEDA" w14:textId="77777777" w:rsidTr="00D466E2">
        <w:trPr>
          <w:trHeight w:val="283"/>
          <w:jc w:val="center"/>
        </w:trPr>
        <w:tc>
          <w:tcPr>
            <w:tcW w:w="1887" w:type="dxa"/>
            <w:vMerge w:val="restart"/>
            <w:shd w:val="clear" w:color="auto" w:fill="C6D9F1"/>
            <w:vAlign w:val="center"/>
          </w:tcPr>
          <w:p w14:paraId="3312B78E" w14:textId="77777777" w:rsidR="00A03F2C" w:rsidRPr="00A03F2C" w:rsidRDefault="00A03F2C" w:rsidP="00F64E29">
            <w:pPr>
              <w:keepNext/>
              <w:keepLines/>
              <w:spacing w:before="20" w:after="20"/>
              <w:jc w:val="center"/>
              <w:rPr>
                <w:b/>
              </w:rPr>
            </w:pPr>
            <w:r w:rsidRPr="00A03F2C">
              <w:rPr>
                <w:b/>
              </w:rPr>
              <w:t xml:space="preserve">Dodatečný růst </w:t>
            </w:r>
          </w:p>
          <w:p w14:paraId="7018936E" w14:textId="77777777" w:rsidR="00A03F2C" w:rsidRPr="00A03F2C" w:rsidRDefault="00A03F2C" w:rsidP="00F64E29">
            <w:pPr>
              <w:keepNext/>
              <w:keepLines/>
              <w:spacing w:before="20" w:after="20"/>
              <w:jc w:val="center"/>
              <w:rPr>
                <w:b/>
              </w:rPr>
            </w:pPr>
            <w:r w:rsidRPr="00A03F2C">
              <w:rPr>
                <w:b/>
              </w:rPr>
              <w:t xml:space="preserve">počtu účastníků </w:t>
            </w:r>
          </w:p>
          <w:p w14:paraId="79DCE2C9" w14:textId="77777777" w:rsidR="00A03F2C" w:rsidRPr="00A03F2C" w:rsidRDefault="00A03F2C" w:rsidP="00F64E29">
            <w:pPr>
              <w:keepNext/>
              <w:keepLines/>
              <w:spacing w:before="20" w:after="20"/>
              <w:jc w:val="center"/>
              <w:rPr>
                <w:b/>
              </w:rPr>
            </w:pPr>
            <w:r w:rsidRPr="00A03F2C">
              <w:rPr>
                <w:b/>
              </w:rPr>
              <w:t>(příspěvek 100 Kč)</w:t>
            </w:r>
          </w:p>
        </w:tc>
        <w:tc>
          <w:tcPr>
            <w:tcW w:w="781" w:type="dxa"/>
            <w:shd w:val="clear" w:color="auto" w:fill="C6D9F1"/>
            <w:vAlign w:val="center"/>
          </w:tcPr>
          <w:p w14:paraId="29F534BA" w14:textId="77777777" w:rsidR="00A03F2C" w:rsidRPr="00A03F2C" w:rsidRDefault="00A03F2C" w:rsidP="00F64E29">
            <w:pPr>
              <w:keepNext/>
              <w:keepLines/>
              <w:spacing w:before="20" w:after="20" w:line="240" w:lineRule="auto"/>
              <w:jc w:val="center"/>
              <w:rPr>
                <w:b/>
              </w:rPr>
            </w:pPr>
            <w:r w:rsidRPr="00A03F2C">
              <w:rPr>
                <w:b/>
              </w:rPr>
              <w:t>0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3EF49937"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287,8</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8A69E0F"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295,5</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B0A7F70"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303,6</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1CC7CB4C"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312,1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7CEF3C2"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321,0</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A2874"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330,3</w:t>
            </w:r>
          </w:p>
        </w:tc>
      </w:tr>
      <w:tr w:rsidR="00A03F2C" w:rsidRPr="00A03F2C" w14:paraId="31313A0F" w14:textId="77777777" w:rsidTr="00D466E2">
        <w:trPr>
          <w:trHeight w:val="283"/>
          <w:jc w:val="center"/>
        </w:trPr>
        <w:tc>
          <w:tcPr>
            <w:tcW w:w="1887" w:type="dxa"/>
            <w:vMerge/>
            <w:shd w:val="clear" w:color="auto" w:fill="C6D9F1"/>
          </w:tcPr>
          <w:p w14:paraId="1AA6AA54" w14:textId="77777777" w:rsidR="00A03F2C" w:rsidRPr="00A03F2C" w:rsidRDefault="00A03F2C" w:rsidP="00F64E29">
            <w:pPr>
              <w:keepNext/>
              <w:keepLines/>
              <w:spacing w:before="20" w:after="20"/>
              <w:jc w:val="both"/>
            </w:pPr>
          </w:p>
        </w:tc>
        <w:tc>
          <w:tcPr>
            <w:tcW w:w="781" w:type="dxa"/>
            <w:shd w:val="clear" w:color="auto" w:fill="C6D9F1"/>
            <w:vAlign w:val="center"/>
          </w:tcPr>
          <w:p w14:paraId="06E116C9" w14:textId="77777777" w:rsidR="00A03F2C" w:rsidRPr="00A03F2C" w:rsidRDefault="00A03F2C" w:rsidP="00F64E29">
            <w:pPr>
              <w:keepNext/>
              <w:keepLines/>
              <w:spacing w:before="20" w:after="20" w:line="240" w:lineRule="auto"/>
              <w:jc w:val="center"/>
              <w:rPr>
                <w:b/>
              </w:rPr>
            </w:pPr>
            <w:r w:rsidRPr="00A03F2C">
              <w:rPr>
                <w:b/>
              </w:rPr>
              <w:t>1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0433CE54"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290,4</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27F0D8F"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298,2</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6F3804C2"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306,5</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31B7033"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315,1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EAC39C1"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324,1</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08A2A"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333,5</w:t>
            </w:r>
          </w:p>
        </w:tc>
      </w:tr>
      <w:tr w:rsidR="00A03F2C" w:rsidRPr="00A03F2C" w14:paraId="189F6EFA" w14:textId="77777777" w:rsidTr="00D466E2">
        <w:trPr>
          <w:trHeight w:val="283"/>
          <w:jc w:val="center"/>
        </w:trPr>
        <w:tc>
          <w:tcPr>
            <w:tcW w:w="1887" w:type="dxa"/>
            <w:vMerge/>
            <w:shd w:val="clear" w:color="auto" w:fill="C6D9F1"/>
          </w:tcPr>
          <w:p w14:paraId="488D3242" w14:textId="77777777" w:rsidR="00A03F2C" w:rsidRPr="00A03F2C" w:rsidRDefault="00A03F2C" w:rsidP="00F64E29">
            <w:pPr>
              <w:keepNext/>
              <w:keepLines/>
              <w:spacing w:before="20" w:after="20"/>
              <w:jc w:val="both"/>
            </w:pPr>
          </w:p>
        </w:tc>
        <w:tc>
          <w:tcPr>
            <w:tcW w:w="781" w:type="dxa"/>
            <w:shd w:val="clear" w:color="auto" w:fill="C6D9F1"/>
            <w:vAlign w:val="center"/>
          </w:tcPr>
          <w:p w14:paraId="6BCDDB86" w14:textId="77777777" w:rsidR="00A03F2C" w:rsidRPr="00A03F2C" w:rsidRDefault="00A03F2C" w:rsidP="00F64E29">
            <w:pPr>
              <w:keepNext/>
              <w:keepLines/>
              <w:spacing w:before="20" w:after="20" w:line="240" w:lineRule="auto"/>
              <w:jc w:val="center"/>
              <w:rPr>
                <w:b/>
              </w:rPr>
            </w:pPr>
            <w:r w:rsidRPr="00A03F2C">
              <w:rPr>
                <w:b/>
              </w:rPr>
              <w:t>2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536BA3CE"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293,1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6378070D"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301,1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0EB3692C" w14:textId="77777777" w:rsidR="00A03F2C" w:rsidRPr="00A03F2C" w:rsidRDefault="00A03F2C" w:rsidP="00F64E29">
            <w:pPr>
              <w:keepNext/>
              <w:keepLines/>
              <w:suppressAutoHyphens w:val="0"/>
              <w:spacing w:after="0" w:line="240" w:lineRule="auto"/>
              <w:jc w:val="right"/>
              <w:rPr>
                <w:rFonts w:cs="Calibri"/>
                <w:color w:val="C00000"/>
              </w:rPr>
            </w:pPr>
            <w:r w:rsidRPr="00A03F2C">
              <w:rPr>
                <w:rFonts w:cs="Calibri"/>
                <w:color w:val="C00000"/>
              </w:rPr>
              <w:t>309,4</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13D68299" w14:textId="77777777" w:rsidR="00A03F2C" w:rsidRPr="00A03F2C" w:rsidRDefault="00A03F2C" w:rsidP="00F64E29">
            <w:pPr>
              <w:keepNext/>
              <w:keepLines/>
              <w:suppressAutoHyphens w:val="0"/>
              <w:spacing w:after="0" w:line="240" w:lineRule="auto"/>
              <w:jc w:val="right"/>
              <w:rPr>
                <w:rFonts w:cs="Calibri"/>
                <w:color w:val="C00000"/>
              </w:rPr>
            </w:pPr>
            <w:r w:rsidRPr="00A03F2C">
              <w:rPr>
                <w:rFonts w:cs="Calibri"/>
                <w:color w:val="C00000"/>
              </w:rPr>
              <w:t>318,2</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75CD13E"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327,3</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1110"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336,9</w:t>
            </w:r>
          </w:p>
        </w:tc>
      </w:tr>
      <w:tr w:rsidR="00A03F2C" w:rsidRPr="00A03F2C" w14:paraId="0B844CF6" w14:textId="77777777" w:rsidTr="00D466E2">
        <w:trPr>
          <w:trHeight w:val="283"/>
          <w:jc w:val="center"/>
        </w:trPr>
        <w:tc>
          <w:tcPr>
            <w:tcW w:w="1887" w:type="dxa"/>
            <w:vMerge/>
            <w:shd w:val="clear" w:color="auto" w:fill="C6D9F1"/>
          </w:tcPr>
          <w:p w14:paraId="37713055" w14:textId="77777777" w:rsidR="00A03F2C" w:rsidRPr="00A03F2C" w:rsidRDefault="00A03F2C" w:rsidP="00F64E29">
            <w:pPr>
              <w:keepNext/>
              <w:keepLines/>
              <w:spacing w:before="20" w:after="20"/>
              <w:jc w:val="both"/>
            </w:pPr>
          </w:p>
        </w:tc>
        <w:tc>
          <w:tcPr>
            <w:tcW w:w="781" w:type="dxa"/>
            <w:shd w:val="clear" w:color="auto" w:fill="C6D9F1"/>
            <w:vAlign w:val="center"/>
          </w:tcPr>
          <w:p w14:paraId="0C57F99C" w14:textId="77777777" w:rsidR="00A03F2C" w:rsidRPr="00A03F2C" w:rsidRDefault="00A03F2C" w:rsidP="00F64E29">
            <w:pPr>
              <w:keepNext/>
              <w:keepLines/>
              <w:spacing w:before="20" w:after="20" w:line="240" w:lineRule="auto"/>
              <w:jc w:val="center"/>
              <w:rPr>
                <w:b/>
              </w:rPr>
            </w:pPr>
            <w:r w:rsidRPr="00A03F2C">
              <w:rPr>
                <w:b/>
              </w:rPr>
              <w:t>3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260F8926"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295,9</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D0D487A"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304,0</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1A249B6" w14:textId="77777777" w:rsidR="00A03F2C" w:rsidRPr="00A03F2C" w:rsidRDefault="00A03F2C" w:rsidP="00F64E29">
            <w:pPr>
              <w:keepNext/>
              <w:keepLines/>
              <w:suppressAutoHyphens w:val="0"/>
              <w:spacing w:after="0" w:line="240" w:lineRule="auto"/>
              <w:jc w:val="right"/>
              <w:rPr>
                <w:rFonts w:cs="Calibri"/>
                <w:color w:val="C00000"/>
              </w:rPr>
            </w:pPr>
            <w:r w:rsidRPr="00A03F2C">
              <w:rPr>
                <w:rFonts w:cs="Calibri"/>
                <w:color w:val="C00000"/>
              </w:rPr>
              <w:t>312,5</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09F29959" w14:textId="77777777" w:rsidR="00A03F2C" w:rsidRPr="00A03F2C" w:rsidRDefault="00A03F2C" w:rsidP="00F64E29">
            <w:pPr>
              <w:keepNext/>
              <w:keepLines/>
              <w:suppressAutoHyphens w:val="0"/>
              <w:spacing w:after="0" w:line="240" w:lineRule="auto"/>
              <w:jc w:val="right"/>
              <w:rPr>
                <w:rFonts w:cs="Calibri"/>
                <w:color w:val="C00000"/>
              </w:rPr>
            </w:pPr>
            <w:r w:rsidRPr="00A03F2C">
              <w:rPr>
                <w:rFonts w:cs="Calibri"/>
                <w:color w:val="C00000"/>
              </w:rPr>
              <w:t>321,4</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3AF190B9"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330,7</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D52F"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340,4</w:t>
            </w:r>
          </w:p>
        </w:tc>
      </w:tr>
      <w:tr w:rsidR="00A03F2C" w:rsidRPr="00A03F2C" w14:paraId="078F3CC8" w14:textId="77777777" w:rsidTr="00D466E2">
        <w:trPr>
          <w:trHeight w:val="283"/>
          <w:jc w:val="center"/>
        </w:trPr>
        <w:tc>
          <w:tcPr>
            <w:tcW w:w="1887" w:type="dxa"/>
            <w:vMerge/>
            <w:shd w:val="clear" w:color="auto" w:fill="C6D9F1"/>
          </w:tcPr>
          <w:p w14:paraId="6D892785" w14:textId="77777777" w:rsidR="00A03F2C" w:rsidRPr="00A03F2C" w:rsidRDefault="00A03F2C" w:rsidP="00F64E29">
            <w:pPr>
              <w:keepNext/>
              <w:keepLines/>
              <w:spacing w:before="20" w:after="20"/>
              <w:jc w:val="both"/>
            </w:pPr>
          </w:p>
        </w:tc>
        <w:tc>
          <w:tcPr>
            <w:tcW w:w="781" w:type="dxa"/>
            <w:shd w:val="clear" w:color="auto" w:fill="C6D9F1"/>
            <w:vAlign w:val="center"/>
          </w:tcPr>
          <w:p w14:paraId="41BE1553" w14:textId="77777777" w:rsidR="00A03F2C" w:rsidRPr="00A03F2C" w:rsidRDefault="00A03F2C" w:rsidP="00F64E29">
            <w:pPr>
              <w:keepNext/>
              <w:keepLines/>
              <w:spacing w:before="20" w:after="20" w:line="240" w:lineRule="auto"/>
              <w:jc w:val="center"/>
              <w:rPr>
                <w:b/>
              </w:rPr>
            </w:pPr>
            <w:r w:rsidRPr="00A03F2C">
              <w:rPr>
                <w:b/>
              </w:rPr>
              <w:t>4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3444DC4E"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298,9</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0C47D4B"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307,1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1D0781BC"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315,7</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408DAD2"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324,8</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22BF75BE"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334,2</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4D07E"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344,1</w:t>
            </w:r>
          </w:p>
        </w:tc>
      </w:tr>
      <w:tr w:rsidR="00A03F2C" w:rsidRPr="00A03F2C" w14:paraId="227A5235" w14:textId="77777777" w:rsidTr="00D466E2">
        <w:trPr>
          <w:trHeight w:val="283"/>
          <w:jc w:val="center"/>
        </w:trPr>
        <w:tc>
          <w:tcPr>
            <w:tcW w:w="1887" w:type="dxa"/>
            <w:vMerge/>
            <w:shd w:val="clear" w:color="auto" w:fill="C6D9F1"/>
          </w:tcPr>
          <w:p w14:paraId="1D1B7151" w14:textId="77777777" w:rsidR="00A03F2C" w:rsidRPr="00A03F2C" w:rsidRDefault="00A03F2C" w:rsidP="00F64E29">
            <w:pPr>
              <w:keepNext/>
              <w:keepLines/>
              <w:spacing w:before="20" w:after="20"/>
              <w:jc w:val="both"/>
            </w:pPr>
          </w:p>
        </w:tc>
        <w:tc>
          <w:tcPr>
            <w:tcW w:w="781" w:type="dxa"/>
            <w:shd w:val="clear" w:color="auto" w:fill="C6D9F1"/>
            <w:vAlign w:val="center"/>
          </w:tcPr>
          <w:p w14:paraId="40D6EDCB" w14:textId="77777777" w:rsidR="00A03F2C" w:rsidRPr="00A03F2C" w:rsidRDefault="00A03F2C" w:rsidP="00F64E29">
            <w:pPr>
              <w:keepNext/>
              <w:keepLines/>
              <w:spacing w:before="20" w:after="20" w:line="240" w:lineRule="auto"/>
              <w:jc w:val="center"/>
              <w:rPr>
                <w:b/>
              </w:rPr>
            </w:pPr>
            <w:r w:rsidRPr="00A03F2C">
              <w:rPr>
                <w:b/>
              </w:rPr>
              <w:t>5 p. b.</w:t>
            </w:r>
          </w:p>
        </w:tc>
        <w:tc>
          <w:tcPr>
            <w:tcW w:w="806" w:type="dxa"/>
            <w:tcBorders>
              <w:top w:val="single" w:sz="4" w:space="0" w:color="auto"/>
              <w:left w:val="nil"/>
              <w:bottom w:val="single" w:sz="4" w:space="0" w:color="auto"/>
              <w:right w:val="single" w:sz="4" w:space="0" w:color="auto"/>
            </w:tcBorders>
            <w:shd w:val="clear" w:color="auto" w:fill="auto"/>
            <w:vAlign w:val="center"/>
          </w:tcPr>
          <w:p w14:paraId="106D5586"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302,0</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4D76A1D0"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310,3</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5B2A81E0"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319,1</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08C55C00"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328,3</w:t>
            </w:r>
          </w:p>
        </w:tc>
        <w:tc>
          <w:tcPr>
            <w:tcW w:w="806" w:type="dxa"/>
            <w:tcBorders>
              <w:top w:val="single" w:sz="4" w:space="0" w:color="auto"/>
              <w:left w:val="single" w:sz="4" w:space="0" w:color="auto"/>
              <w:bottom w:val="single" w:sz="4" w:space="0" w:color="auto"/>
              <w:right w:val="single" w:sz="4" w:space="0" w:color="auto"/>
            </w:tcBorders>
            <w:shd w:val="clear" w:color="auto" w:fill="auto"/>
            <w:vAlign w:val="center"/>
          </w:tcPr>
          <w:p w14:paraId="16671583"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337,9</w:t>
            </w:r>
          </w:p>
        </w:tc>
        <w:tc>
          <w:tcPr>
            <w:tcW w:w="8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0E32" w14:textId="77777777" w:rsidR="00A03F2C" w:rsidRPr="00A03F2C" w:rsidRDefault="00A03F2C" w:rsidP="00F64E29">
            <w:pPr>
              <w:keepNext/>
              <w:keepLines/>
              <w:suppressAutoHyphens w:val="0"/>
              <w:spacing w:after="0" w:line="240" w:lineRule="auto"/>
              <w:jc w:val="right"/>
              <w:rPr>
                <w:rFonts w:cs="Calibri"/>
                <w:color w:val="000000"/>
              </w:rPr>
            </w:pPr>
            <w:r w:rsidRPr="00A03F2C">
              <w:rPr>
                <w:rFonts w:cs="Calibri"/>
                <w:color w:val="000000"/>
              </w:rPr>
              <w:t>348,0</w:t>
            </w:r>
          </w:p>
        </w:tc>
      </w:tr>
    </w:tbl>
    <w:p w14:paraId="49B07E04" w14:textId="77777777" w:rsidR="00A03F2C" w:rsidRPr="00A03F2C" w:rsidRDefault="00A03F2C" w:rsidP="00F64E29">
      <w:pPr>
        <w:spacing w:before="240" w:after="120"/>
        <w:jc w:val="both"/>
      </w:pPr>
      <w:r w:rsidRPr="00A03F2C">
        <w:t>Ve variantě 1 je možné předpokládat, že nárůst počtu nezletilých účastníků by se mohl vrátit poblíž trajektorie růstu v letech předcházejících změně v poskytování příspěvku, což by mohlo znamenat dodatečný růst o 2 až 3 p. b., tedy celkový mezičtvrtletní růst ve výši 4 až 5 %, který by odpovídal průměrnému mezičtvrtletnímu tempu růstu počtu nezletilých účastníků v letech 2022 a 2023.</w:t>
      </w:r>
    </w:p>
    <w:p w14:paraId="12DF333A" w14:textId="77777777" w:rsidR="00A03F2C" w:rsidRPr="00A03F2C" w:rsidRDefault="00A03F2C" w:rsidP="00A03F2C">
      <w:pPr>
        <w:spacing w:after="120"/>
        <w:jc w:val="both"/>
      </w:pPr>
      <w:r w:rsidRPr="00A03F2C">
        <w:t>Ve variantě 2 by se kromě účastníků s příspěvkem 300 Kč mohl do systému DPS zapojit i blíže neurčený počet nových nezletilých účastníků, kteří by si ukládali 100 Kč. Odhad počtu nových nezletilých účastníků s příspěvkem 100 Kč nelze podložit žádným předchozím vývojem, neboť od možnosti vstupu nezletilých účastníků do sytému DPS neměli účastníci s touto výší příspěvku nárok na státní příspěvek. Dodatečný růst počtu nezletilých účastníků by se nicméně mohl pravděpodobně pohybovat ve stejném rozmezí jako v případě účastníků s příspěvkem 300 Kč</w:t>
      </w:r>
      <w:r w:rsidR="00640695">
        <w:t>, tedy o 2 až 3 p. b</w:t>
      </w:r>
      <w:r w:rsidRPr="00A03F2C">
        <w:t>. Ke konci roku 2028 by tedy mohl počet nezletilých účastníků s evidovaným příspěvkem vzrůst ze 160 tis. ke konci roku 2025 na 238 až 257 tis. ve variantě 1 a 277 až 322 tis. ve variantě 2. Ve variantě 0 (zachování současného stavu) je počet nezletilých účastníků s evidovaným příspěvkem odhadován na 204 tis.</w:t>
      </w:r>
    </w:p>
    <w:p w14:paraId="17BCEE65" w14:textId="77777777" w:rsidR="00A03F2C" w:rsidRPr="00A03F2C" w:rsidRDefault="00A03F2C" w:rsidP="00A03F2C">
      <w:pPr>
        <w:spacing w:after="120"/>
        <w:jc w:val="both"/>
      </w:pPr>
      <w:r w:rsidRPr="00A03F2C">
        <w:t>Rozpočtový výdaj v roce 2028 by se pravděpodobně mohl pohybovat ve variantě 1 kolem 304 mil. Kč, tedy o cca 30 mil. Kč více než při předpokládaném vývoji současného stavu poskytování státního příspěvku, a ve variantě 2 kolem 315 mil. Kč, tj. o cca 45 mil. Kč více oproti zachování současného stavu. I v případě vyššího než očekávaného růstu by se rozpočtový dopad snížení podmínky nároku na státní příspěvek u nezletilých účastníků pohyboval v řádu desítek milionů korun. Výše uvedené rozpočtové výdaje navíc může snižovat případný vývoj, kdy budoucí nezletilí účastníci, kteří by do systému DPS vstoupili i při zachování současného stavu, se na základě změny podmínek nároku na státní příspěvek rozhodnout pro nižší výši svého měsíčního příspěvku, než jakou by zvolili při nezměněných podmínkách. Tento případný vývoj nebyl kvůli své nepředvídatelnosti při kvantifikaci rozpočtových výdajů zvažován.</w:t>
      </w:r>
    </w:p>
    <w:p w14:paraId="4612669E" w14:textId="77777777" w:rsidR="00A03F2C" w:rsidRPr="00A03F2C" w:rsidRDefault="00A03F2C" w:rsidP="009D52C4">
      <w:pPr>
        <w:spacing w:before="80" w:after="120" w:line="259" w:lineRule="auto"/>
        <w:jc w:val="both"/>
        <w:rPr>
          <w:rFonts w:eastAsia="Calibri"/>
          <w:b/>
          <w:bCs/>
          <w:color w:val="4F81BD"/>
          <w:sz w:val="20"/>
          <w:szCs w:val="18"/>
        </w:rPr>
      </w:pPr>
      <w:bookmarkStart w:id="176" w:name="_Toc230006805"/>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BA7E70">
        <w:rPr>
          <w:rFonts w:eastAsia="Calibri"/>
          <w:b/>
          <w:bCs/>
          <w:noProof/>
          <w:color w:val="4F81BD"/>
          <w:sz w:val="20"/>
          <w:szCs w:val="18"/>
        </w:rPr>
        <w:t>9</w:t>
      </w:r>
      <w:r w:rsidRPr="00A03F2C">
        <w:rPr>
          <w:rFonts w:eastAsia="Calibri"/>
          <w:b/>
          <w:bCs/>
          <w:color w:val="4F81BD"/>
          <w:sz w:val="20"/>
          <w:szCs w:val="18"/>
        </w:rPr>
        <w:fldChar w:fldCharType="end"/>
      </w:r>
      <w:r w:rsidRPr="00A03F2C">
        <w:rPr>
          <w:rFonts w:eastAsia="Calibri"/>
          <w:b/>
          <w:bCs/>
          <w:color w:val="4F81BD"/>
          <w:sz w:val="20"/>
          <w:szCs w:val="18"/>
        </w:rPr>
        <w:t>: Vyhodnocení dopadů uvažovaných variant řešení snížení podmínky nároku na státní příspěvek spočívající v minimální výši příspěvku účastníka u nezletilých účastníků</w:t>
      </w:r>
      <w:bookmarkEnd w:id="176"/>
    </w:p>
    <w:tbl>
      <w:tblPr>
        <w:tblpPr w:leftFromText="141" w:rightFromText="141" w:vertAnchor="text" w:tblpXSpec="center" w:tblpY="1"/>
        <w:tblOverlap w:val="never"/>
        <w:tblW w:w="90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A0" w:firstRow="1" w:lastRow="0" w:firstColumn="1" w:lastColumn="0" w:noHBand="1" w:noVBand="1"/>
      </w:tblPr>
      <w:tblGrid>
        <w:gridCol w:w="6520"/>
        <w:gridCol w:w="850"/>
        <w:gridCol w:w="850"/>
        <w:gridCol w:w="851"/>
      </w:tblGrid>
      <w:tr w:rsidR="00A03F2C" w:rsidRPr="00A03F2C" w14:paraId="57B5E804" w14:textId="77777777" w:rsidTr="00A03F2C">
        <w:trPr>
          <w:cantSplit/>
          <w:trHeight w:val="283"/>
        </w:trPr>
        <w:tc>
          <w:tcPr>
            <w:tcW w:w="6520" w:type="dxa"/>
            <w:vMerge w:val="restart"/>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4AF791A4" w14:textId="77777777" w:rsidR="00A03F2C" w:rsidRPr="00A03F2C" w:rsidRDefault="00A03F2C" w:rsidP="00A03F2C">
            <w:pPr>
              <w:keepNext/>
              <w:keepLines/>
              <w:spacing w:after="0" w:line="240" w:lineRule="auto"/>
              <w:rPr>
                <w:rFonts w:eastAsia="Times New Roman"/>
                <w:b/>
                <w:bCs/>
                <w:lang w:eastAsia="cs-CZ"/>
              </w:rPr>
            </w:pPr>
            <w:r w:rsidRPr="00A03F2C">
              <w:rPr>
                <w:rFonts w:eastAsia="Times New Roman"/>
                <w:b/>
                <w:bCs/>
                <w:lang w:eastAsia="cs-CZ"/>
              </w:rPr>
              <w:t>Dopady</w:t>
            </w:r>
          </w:p>
        </w:tc>
        <w:tc>
          <w:tcPr>
            <w:tcW w:w="2551" w:type="dxa"/>
            <w:gridSpan w:val="3"/>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169B1D0B"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Varianty</w:t>
            </w:r>
          </w:p>
        </w:tc>
      </w:tr>
      <w:tr w:rsidR="00A03F2C" w:rsidRPr="00A03F2C" w14:paraId="26233C25" w14:textId="77777777" w:rsidTr="00A03F2C">
        <w:trPr>
          <w:cantSplit/>
          <w:trHeight w:val="283"/>
        </w:trPr>
        <w:tc>
          <w:tcPr>
            <w:tcW w:w="6520" w:type="dxa"/>
            <w:vMerge/>
            <w:tcBorders>
              <w:top w:val="single" w:sz="8" w:space="0" w:color="000000"/>
              <w:left w:val="single" w:sz="8" w:space="0" w:color="000000"/>
              <w:bottom w:val="single" w:sz="8" w:space="0" w:color="000000"/>
              <w:right w:val="single" w:sz="8" w:space="0" w:color="000000"/>
            </w:tcBorders>
            <w:vAlign w:val="center"/>
            <w:hideMark/>
          </w:tcPr>
          <w:p w14:paraId="7892C40E" w14:textId="77777777" w:rsidR="00A03F2C" w:rsidRPr="00A03F2C" w:rsidRDefault="00A03F2C" w:rsidP="00A03F2C">
            <w:pPr>
              <w:suppressAutoHyphens w:val="0"/>
              <w:spacing w:after="0" w:line="240" w:lineRule="auto"/>
              <w:rPr>
                <w:rFonts w:eastAsia="Times New Roman"/>
                <w:b/>
                <w:bCs/>
                <w:lang w:eastAsia="cs-CZ"/>
              </w:rPr>
            </w:pP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31784ECA"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6F735F0A"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1</w:t>
            </w:r>
          </w:p>
        </w:tc>
        <w:tc>
          <w:tcPr>
            <w:tcW w:w="851" w:type="dxa"/>
            <w:tcBorders>
              <w:top w:val="single" w:sz="8" w:space="0" w:color="000000"/>
              <w:left w:val="single" w:sz="8" w:space="0" w:color="000000"/>
              <w:bottom w:val="single" w:sz="8" w:space="0" w:color="000000"/>
              <w:right w:val="single" w:sz="8" w:space="0" w:color="000000"/>
            </w:tcBorders>
            <w:shd w:val="clear" w:color="auto" w:fill="C6D9F1"/>
          </w:tcPr>
          <w:p w14:paraId="381203A9"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2</w:t>
            </w:r>
          </w:p>
        </w:tc>
      </w:tr>
      <w:tr w:rsidR="00A03F2C" w:rsidRPr="00A03F2C" w14:paraId="23C1F6A8"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30C71170"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 xml:space="preserve">Zatraktivnění DPS pro nové nezletilé účastníky </w:t>
            </w:r>
          </w:p>
        </w:tc>
        <w:tc>
          <w:tcPr>
            <w:tcW w:w="850" w:type="dxa"/>
            <w:tcBorders>
              <w:top w:val="single" w:sz="8" w:space="0" w:color="000000"/>
              <w:left w:val="single" w:sz="8" w:space="0" w:color="000000"/>
              <w:bottom w:val="single" w:sz="8" w:space="0" w:color="000000"/>
              <w:right w:val="single" w:sz="8" w:space="0" w:color="000000"/>
            </w:tcBorders>
            <w:vAlign w:val="center"/>
          </w:tcPr>
          <w:p w14:paraId="5FF4BFCA"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4B6E9ADF"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6D384BD4" w14:textId="77777777" w:rsidR="00A03F2C" w:rsidRPr="00A03F2C" w:rsidRDefault="00A03F2C" w:rsidP="00A03F2C">
            <w:pPr>
              <w:keepNext/>
              <w:keepLines/>
              <w:spacing w:before="20" w:after="20" w:line="240" w:lineRule="auto"/>
              <w:jc w:val="center"/>
            </w:pPr>
            <w:r w:rsidRPr="00A03F2C">
              <w:t>++</w:t>
            </w:r>
          </w:p>
        </w:tc>
      </w:tr>
      <w:tr w:rsidR="00A03F2C" w:rsidRPr="00A03F2C" w14:paraId="661A3D64"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63206192" w14:textId="77777777" w:rsidR="00A03F2C" w:rsidRPr="00A03F2C" w:rsidRDefault="00A03F2C" w:rsidP="00A03F2C">
            <w:pPr>
              <w:keepNext/>
              <w:keepLines/>
              <w:spacing w:before="20" w:after="20" w:line="240" w:lineRule="auto"/>
              <w:rPr>
                <w:rFonts w:eastAsia="Times New Roman"/>
                <w:b/>
                <w:bCs/>
              </w:rPr>
            </w:pPr>
            <w:r w:rsidRPr="00A03F2C">
              <w:rPr>
                <w:rFonts w:eastAsia="Times New Roman"/>
                <w:bCs/>
              </w:rPr>
              <w:t>Přiznání nároku na státní příspěvek stávajícím nezletilým účastníkům</w:t>
            </w:r>
          </w:p>
        </w:tc>
        <w:tc>
          <w:tcPr>
            <w:tcW w:w="850" w:type="dxa"/>
            <w:tcBorders>
              <w:top w:val="single" w:sz="8" w:space="0" w:color="000000"/>
              <w:left w:val="single" w:sz="8" w:space="0" w:color="000000"/>
              <w:bottom w:val="single" w:sz="8" w:space="0" w:color="000000"/>
              <w:right w:val="single" w:sz="8" w:space="0" w:color="000000"/>
            </w:tcBorders>
            <w:vAlign w:val="center"/>
          </w:tcPr>
          <w:p w14:paraId="6C4C165F"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3E032FC6"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1B4CA31D" w14:textId="77777777" w:rsidR="00A03F2C" w:rsidRPr="00A03F2C" w:rsidRDefault="00A03F2C" w:rsidP="00A03F2C">
            <w:pPr>
              <w:keepNext/>
              <w:keepLines/>
              <w:spacing w:before="20" w:after="20" w:line="240" w:lineRule="auto"/>
              <w:jc w:val="center"/>
            </w:pPr>
            <w:r w:rsidRPr="00A03F2C">
              <w:t>++</w:t>
            </w:r>
          </w:p>
        </w:tc>
      </w:tr>
      <w:tr w:rsidR="00A03F2C" w:rsidRPr="00A03F2C" w14:paraId="45F698CD"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17B20577"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 xml:space="preserve">Zvýšení výdajů státního rozpočtu na státní příspěvek </w:t>
            </w:r>
          </w:p>
        </w:tc>
        <w:tc>
          <w:tcPr>
            <w:tcW w:w="850" w:type="dxa"/>
            <w:tcBorders>
              <w:top w:val="single" w:sz="8" w:space="0" w:color="000000"/>
              <w:left w:val="single" w:sz="8" w:space="0" w:color="000000"/>
              <w:bottom w:val="single" w:sz="8" w:space="0" w:color="000000"/>
              <w:right w:val="single" w:sz="8" w:space="0" w:color="000000"/>
            </w:tcBorders>
            <w:vAlign w:val="center"/>
          </w:tcPr>
          <w:p w14:paraId="23885B6E"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41286374"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457C2079" w14:textId="77777777" w:rsidR="00A03F2C" w:rsidRPr="00A03F2C" w:rsidRDefault="00A03F2C" w:rsidP="00A03F2C">
            <w:pPr>
              <w:keepNext/>
              <w:keepLines/>
              <w:spacing w:before="20" w:after="20" w:line="240" w:lineRule="auto"/>
              <w:jc w:val="center"/>
            </w:pPr>
            <w:r w:rsidRPr="00A03F2C">
              <w:t>--</w:t>
            </w:r>
          </w:p>
        </w:tc>
      </w:tr>
    </w:tbl>
    <w:p w14:paraId="2050B7F5" w14:textId="77777777" w:rsidR="00A03F2C" w:rsidRPr="00A03F2C" w:rsidRDefault="00A03F2C" w:rsidP="00A03F2C">
      <w:pPr>
        <w:keepNext/>
        <w:keepLines/>
        <w:pBdr>
          <w:bottom w:val="single" w:sz="12" w:space="1" w:color="auto"/>
        </w:pBdr>
        <w:shd w:val="clear" w:color="auto" w:fill="FFFFFF"/>
        <w:suppressAutoHyphens w:val="0"/>
        <w:spacing w:before="240" w:after="60"/>
        <w:outlineLvl w:val="4"/>
        <w:rPr>
          <w:b/>
          <w:sz w:val="24"/>
        </w:rPr>
      </w:pPr>
      <w:r w:rsidRPr="00A03F2C">
        <w:rPr>
          <w:b/>
          <w:sz w:val="24"/>
        </w:rPr>
        <w:lastRenderedPageBreak/>
        <w:t xml:space="preserve">C) </w:t>
      </w:r>
      <w:r w:rsidRPr="00A03F2C">
        <w:rPr>
          <w:b/>
          <w:caps/>
          <w:sz w:val="24"/>
        </w:rPr>
        <w:t>Shrnutí vyhodnocení variant a výběr nejvhodnějšího řešení</w:t>
      </w:r>
    </w:p>
    <w:p w14:paraId="53ADF06B" w14:textId="77777777" w:rsidR="00A03F2C" w:rsidRPr="00A03F2C" w:rsidRDefault="00A03F2C" w:rsidP="000A5D66">
      <w:pPr>
        <w:spacing w:before="120"/>
        <w:jc w:val="both"/>
      </w:pPr>
      <w:r w:rsidRPr="00A03F2C">
        <w:t>Přínosem snížení minimální výše příspěvku účastníka pro nárok na státní příspěvek je umožnění čerpání státního příspěvku i nezletilým účastníkům, jejichž rodiče či jiná osoba platí nebo se rozhodnou platit příspěvky nižší než 500 Kč měsíčně, což obecně reflektuje vyšší finanční zátěž domácností s dětmi. Nákladem daného opatření je zvýšení výdajů státního rozpočtu na státní příspěvek. Dodatečné náklady budou záviset zejména na tom, kolik nových účastníků vstoupí na základě snížení minimální výše příspěvku účastníka pro nárok na státní příspěvek do systému DPS. Ve variantě 2, která předpokládá snížení minimální výše příspěvku účastníka pro nárok na státní příspěvek na 100 Kč lze předpokládat, že by mohla přimět ke vstupu do systému DPS vyšší počet nových účastníků, než varianta 1, která snižuje minimální výše příspěvku účastníka pro nárok na státní příspěvek na 300 Kč, tedy na původní výši platnou před 1. 7. 2024. Vstup do systému v nižším věku je přitom žádoucí z hlediska dostatečné výše celkové naspořené částky. I přesto, že v dosažených 18 letech účastníka může být naspořená částka velmi nízká, lze očekávat, že účastník již v systému DPS zůstane a bude pokračovat v investování a postupně bude zvyšovat i výši svých měsíčních příspěvků. V tomto ohledu je tedy z hlediska dosažení cíle spočívajícího v prodloužení doby spoření prostřednictvím zvýšení zapojení mladších věkových kategorií vhodnější varianta 2, která si sice oproti variantě 1 vyžádá vyšší výdaje státního rozpočtu, avšak pouze v řádu nízkých desítek miliónů korun. Oproti zachování současného stavu by se dodatečné výdaje státního rozpočtu i při výraznějším navýšení současného růstu celkového počtu nezletilých účastníků, přičemž noví účastníci vstoupivší na základě opatření by si ukládali 100 Kč nebo 300 Kč, měly pohybovat v řádu vyšších desítek miliónů korun. Varianta 2 tak pouze za relativně malého navýšení výdajů státního rozpočtu má potenciál zajistit vyšší motivaci pro vstup do systému DPS v mladším věku, což je jeden z hlavních cílů návrhu zákona.</w:t>
      </w:r>
    </w:p>
    <w:p w14:paraId="52ED1E79" w14:textId="77777777" w:rsidR="00A03F2C" w:rsidRPr="00A03F2C" w:rsidRDefault="00A03F2C" w:rsidP="00A03F2C">
      <w:pPr>
        <w:suppressAutoHyphens w:val="0"/>
        <w:spacing w:before="80"/>
        <w:jc w:val="both"/>
        <w:rPr>
          <w:b/>
        </w:rPr>
      </w:pPr>
      <w:r w:rsidRPr="00A03F2C">
        <w:rPr>
          <w:b/>
        </w:rPr>
        <w:t>K implementaci se navrhuje varianta 2 – Snížení minimální výše příspěvku účastníka pro nárok na státní příspěvek na 100 Kč.</w:t>
      </w:r>
    </w:p>
    <w:p w14:paraId="6DB6ED7B" w14:textId="77777777" w:rsidR="00A03F2C" w:rsidRPr="00A03F2C" w:rsidRDefault="00A03F2C" w:rsidP="00A03F2C">
      <w:pPr>
        <w:suppressAutoHyphens w:val="0"/>
        <w:spacing w:after="160" w:line="259" w:lineRule="auto"/>
        <w:rPr>
          <w:b/>
        </w:rPr>
      </w:pPr>
      <w:r w:rsidRPr="00A03F2C">
        <w:rPr>
          <w:b/>
        </w:rPr>
        <w:br w:type="page"/>
      </w:r>
    </w:p>
    <w:p w14:paraId="1DC18C9C" w14:textId="77777777" w:rsidR="00A03F2C" w:rsidRPr="00A03F2C" w:rsidRDefault="00A03F2C" w:rsidP="00A03F2C">
      <w:pPr>
        <w:pBdr>
          <w:top w:val="single" w:sz="8" w:space="1" w:color="auto"/>
          <w:left w:val="single" w:sz="8" w:space="1" w:color="auto"/>
          <w:bottom w:val="single" w:sz="8" w:space="1" w:color="auto"/>
          <w:right w:val="single" w:sz="8" w:space="1" w:color="auto"/>
        </w:pBdr>
        <w:shd w:val="clear" w:color="auto" w:fill="C6D9F1"/>
        <w:suppressAutoHyphens w:val="0"/>
        <w:spacing w:after="0"/>
        <w:jc w:val="center"/>
        <w:outlineLvl w:val="2"/>
        <w:rPr>
          <w:b/>
          <w:sz w:val="32"/>
        </w:rPr>
      </w:pPr>
      <w:bookmarkStart w:id="177" w:name="_Toc229662661"/>
      <w:bookmarkStart w:id="178" w:name="_Toc231310644"/>
      <w:r w:rsidRPr="00A03F2C">
        <w:rPr>
          <w:b/>
          <w:sz w:val="32"/>
        </w:rPr>
        <w:lastRenderedPageBreak/>
        <w:t xml:space="preserve">Poskytování procentuálně vyššího </w:t>
      </w:r>
      <w:r w:rsidR="009D2306">
        <w:rPr>
          <w:b/>
          <w:sz w:val="32"/>
        </w:rPr>
        <w:t>státního příspěvku nezletilým a </w:t>
      </w:r>
      <w:r w:rsidRPr="00A03F2C">
        <w:rPr>
          <w:b/>
          <w:sz w:val="32"/>
        </w:rPr>
        <w:t>mladým dospělým účastníkům</w:t>
      </w:r>
      <w:bookmarkEnd w:id="177"/>
      <w:bookmarkEnd w:id="178"/>
    </w:p>
    <w:p w14:paraId="253BF924" w14:textId="77777777" w:rsidR="00A03F2C" w:rsidRPr="00A03F2C" w:rsidRDefault="00A03F2C" w:rsidP="00A03F2C">
      <w:pPr>
        <w:pBdr>
          <w:bottom w:val="single" w:sz="12" w:space="1" w:color="auto"/>
        </w:pBdr>
        <w:shd w:val="clear" w:color="auto" w:fill="FFFFFF"/>
        <w:suppressAutoHyphens w:val="0"/>
        <w:spacing w:before="240" w:after="60"/>
        <w:outlineLvl w:val="4"/>
        <w:rPr>
          <w:b/>
          <w:sz w:val="24"/>
        </w:rPr>
      </w:pPr>
      <w:r w:rsidRPr="00A03F2C">
        <w:rPr>
          <w:b/>
          <w:sz w:val="24"/>
        </w:rPr>
        <w:t xml:space="preserve">A) </w:t>
      </w:r>
      <w:r w:rsidRPr="00A03F2C">
        <w:rPr>
          <w:b/>
          <w:caps/>
          <w:sz w:val="24"/>
        </w:rPr>
        <w:t>Popis problému s vymezením variant</w:t>
      </w:r>
    </w:p>
    <w:p w14:paraId="08D1A3F6" w14:textId="77777777" w:rsidR="00A03F2C" w:rsidRPr="009D2306" w:rsidRDefault="00A03F2C" w:rsidP="00A03F2C">
      <w:pPr>
        <w:spacing w:after="120"/>
        <w:jc w:val="both"/>
      </w:pPr>
      <w:r w:rsidRPr="009D2306">
        <w:t xml:space="preserve">Z hlediska penetrace penzijního připojištění (PP) a doplňkového penzijního spoření (DPS) dle věkových kategorií k 31. 12. 2024 (viz tabulka </w:t>
      </w:r>
      <w:r w:rsidR="00BA7E70" w:rsidRPr="009D2306">
        <w:t>10</w:t>
      </w:r>
      <w:r w:rsidRPr="009D2306">
        <w:t>) je patrné, že nezletilí a mladí dospělí účastníci (0–29 le</w:t>
      </w:r>
      <w:r w:rsidR="00EC4F0F">
        <w:t>t) jsou v doplňkovém penzijním systému</w:t>
      </w:r>
      <w:r w:rsidRPr="009D2306">
        <w:t xml:space="preserve"> zastoupení ve výrazně nižší míře než dospělí účastníci ve věku 30 až 64 let. V případě účastníků ve věku 65 a více let je penetrace PP a DPS sice také značně nižší, to však souvisí se změnou v poskytování státního příspěvku účinné od 1. 7. 2024 spočívající v odebrání nároku na státní příspěvek účastníkům, jimž byl přiznán starobní důchod.</w:t>
      </w:r>
    </w:p>
    <w:p w14:paraId="6D8BCB96" w14:textId="77777777" w:rsidR="00A03F2C" w:rsidRPr="00A03F2C" w:rsidRDefault="00A03F2C" w:rsidP="009D52C4">
      <w:pPr>
        <w:spacing w:before="80" w:after="120" w:line="259" w:lineRule="auto"/>
        <w:jc w:val="both"/>
        <w:rPr>
          <w:rFonts w:eastAsia="Calibri"/>
          <w:b/>
          <w:bCs/>
          <w:color w:val="4F81BD"/>
          <w:sz w:val="20"/>
          <w:szCs w:val="18"/>
        </w:rPr>
      </w:pPr>
      <w:bookmarkStart w:id="179" w:name="_Toc230006806"/>
      <w:r w:rsidRPr="009D2306">
        <w:rPr>
          <w:rFonts w:eastAsia="Calibri"/>
          <w:b/>
          <w:bCs/>
          <w:color w:val="4F81BD"/>
          <w:sz w:val="20"/>
          <w:szCs w:val="18"/>
        </w:rPr>
        <w:t xml:space="preserve">Tabulka </w:t>
      </w:r>
      <w:r w:rsidRPr="009D2306">
        <w:rPr>
          <w:rFonts w:eastAsia="Calibri"/>
          <w:b/>
          <w:bCs/>
          <w:color w:val="4F81BD"/>
          <w:sz w:val="20"/>
          <w:szCs w:val="18"/>
        </w:rPr>
        <w:fldChar w:fldCharType="begin"/>
      </w:r>
      <w:r w:rsidRPr="009D2306">
        <w:rPr>
          <w:rFonts w:eastAsia="Calibri"/>
          <w:b/>
          <w:bCs/>
          <w:color w:val="4F81BD"/>
          <w:sz w:val="20"/>
          <w:szCs w:val="18"/>
        </w:rPr>
        <w:instrText xml:space="preserve"> SEQ Tabulka \* ARABIC </w:instrText>
      </w:r>
      <w:r w:rsidRPr="009D2306">
        <w:rPr>
          <w:rFonts w:eastAsia="Calibri"/>
          <w:b/>
          <w:bCs/>
          <w:color w:val="4F81BD"/>
          <w:sz w:val="20"/>
          <w:szCs w:val="18"/>
        </w:rPr>
        <w:fldChar w:fldCharType="separate"/>
      </w:r>
      <w:r w:rsidR="009D2306" w:rsidRPr="009D2306">
        <w:rPr>
          <w:rFonts w:eastAsia="Calibri"/>
          <w:b/>
          <w:bCs/>
          <w:noProof/>
          <w:color w:val="4F81BD"/>
          <w:sz w:val="20"/>
          <w:szCs w:val="18"/>
        </w:rPr>
        <w:t>10</w:t>
      </w:r>
      <w:r w:rsidRPr="009D2306">
        <w:rPr>
          <w:rFonts w:eastAsia="Calibri"/>
          <w:b/>
          <w:bCs/>
          <w:color w:val="4F81BD"/>
          <w:sz w:val="20"/>
          <w:szCs w:val="18"/>
        </w:rPr>
        <w:fldChar w:fldCharType="end"/>
      </w:r>
      <w:r w:rsidRPr="009D2306">
        <w:rPr>
          <w:rFonts w:eastAsia="Calibri"/>
          <w:b/>
          <w:bCs/>
          <w:color w:val="4F81BD"/>
          <w:sz w:val="20"/>
          <w:szCs w:val="18"/>
        </w:rPr>
        <w:t>: Penetrace penzijního připojištění a doplňkového penzijního spoření dle věkových kategorií k 31. 12. 202</w:t>
      </w:r>
      <w:bookmarkEnd w:id="179"/>
      <w:r w:rsidR="00F64E29" w:rsidRPr="009D2306">
        <w:rPr>
          <w:rFonts w:eastAsia="Calibri"/>
          <w:b/>
          <w:bCs/>
          <w:color w:val="4F81BD"/>
          <w:sz w:val="20"/>
          <w:szCs w:val="18"/>
        </w:rPr>
        <w:t>5</w:t>
      </w:r>
      <w:r w:rsidRPr="00A03F2C">
        <w:rPr>
          <w:rFonts w:eastAsia="Calibri"/>
          <w:b/>
          <w:bCs/>
          <w:color w:val="4F81BD"/>
          <w:sz w:val="20"/>
          <w:szCs w:val="18"/>
        </w:rPr>
        <w:t xml:space="preserve"> </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073"/>
        <w:gridCol w:w="1341"/>
        <w:gridCol w:w="1342"/>
        <w:gridCol w:w="1901"/>
        <w:gridCol w:w="1856"/>
        <w:gridCol w:w="1539"/>
      </w:tblGrid>
      <w:tr w:rsidR="00A03F2C" w:rsidRPr="00A03F2C" w14:paraId="26230048" w14:textId="77777777" w:rsidTr="00487C34">
        <w:trPr>
          <w:trHeight w:hRule="exact" w:val="113"/>
          <w:jc w:val="center"/>
        </w:trPr>
        <w:tc>
          <w:tcPr>
            <w:tcW w:w="593" w:type="pct"/>
            <w:vMerge w:val="restart"/>
            <w:shd w:val="clear" w:color="auto" w:fill="C6D9F1"/>
            <w:tcMar>
              <w:top w:w="0" w:type="dxa"/>
              <w:left w:w="70" w:type="dxa"/>
              <w:bottom w:w="0" w:type="dxa"/>
              <w:right w:w="70" w:type="dxa"/>
            </w:tcMar>
            <w:vAlign w:val="center"/>
            <w:hideMark/>
          </w:tcPr>
          <w:p w14:paraId="270E34AD"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Věk</w:t>
            </w:r>
          </w:p>
        </w:tc>
        <w:tc>
          <w:tcPr>
            <w:tcW w:w="741" w:type="pct"/>
            <w:vMerge w:val="restart"/>
            <w:shd w:val="clear" w:color="auto" w:fill="C6D9F1"/>
            <w:tcMar>
              <w:top w:w="0" w:type="dxa"/>
              <w:left w:w="70" w:type="dxa"/>
              <w:bottom w:w="0" w:type="dxa"/>
              <w:right w:w="70" w:type="dxa"/>
            </w:tcMar>
            <w:vAlign w:val="center"/>
            <w:hideMark/>
          </w:tcPr>
          <w:p w14:paraId="67079C00"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PP</w:t>
            </w:r>
          </w:p>
        </w:tc>
        <w:tc>
          <w:tcPr>
            <w:tcW w:w="741" w:type="pct"/>
            <w:vMerge w:val="restart"/>
            <w:shd w:val="clear" w:color="auto" w:fill="C6D9F1"/>
            <w:tcMar>
              <w:top w:w="0" w:type="dxa"/>
              <w:left w:w="70" w:type="dxa"/>
              <w:bottom w:w="0" w:type="dxa"/>
              <w:right w:w="70" w:type="dxa"/>
            </w:tcMar>
            <w:vAlign w:val="center"/>
            <w:hideMark/>
          </w:tcPr>
          <w:p w14:paraId="29F88CF5"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DPS</w:t>
            </w:r>
          </w:p>
        </w:tc>
        <w:tc>
          <w:tcPr>
            <w:tcW w:w="1050" w:type="pct"/>
            <w:vMerge w:val="restart"/>
            <w:shd w:val="clear" w:color="auto" w:fill="C6D9F1"/>
            <w:tcMar>
              <w:top w:w="0" w:type="dxa"/>
              <w:left w:w="70" w:type="dxa"/>
              <w:bottom w:w="0" w:type="dxa"/>
              <w:right w:w="70" w:type="dxa"/>
            </w:tcMar>
            <w:vAlign w:val="center"/>
            <w:hideMark/>
          </w:tcPr>
          <w:p w14:paraId="3F446E7E"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Celkem PP a DPS</w:t>
            </w:r>
          </w:p>
        </w:tc>
        <w:tc>
          <w:tcPr>
            <w:tcW w:w="1025" w:type="pct"/>
            <w:vMerge w:val="restart"/>
            <w:shd w:val="clear" w:color="auto" w:fill="C6D9F1"/>
            <w:tcMar>
              <w:top w:w="0" w:type="dxa"/>
              <w:left w:w="70" w:type="dxa"/>
              <w:bottom w:w="0" w:type="dxa"/>
              <w:right w:w="70" w:type="dxa"/>
            </w:tcMar>
            <w:vAlign w:val="center"/>
            <w:hideMark/>
          </w:tcPr>
          <w:p w14:paraId="3F4FA94C"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Počet obyvatel</w:t>
            </w:r>
          </w:p>
        </w:tc>
        <w:tc>
          <w:tcPr>
            <w:tcW w:w="850" w:type="pct"/>
            <w:vMerge w:val="restart"/>
            <w:shd w:val="clear" w:color="auto" w:fill="C6D9F1"/>
            <w:tcMar>
              <w:top w:w="0" w:type="dxa"/>
              <w:left w:w="70" w:type="dxa"/>
              <w:bottom w:w="0" w:type="dxa"/>
              <w:right w:w="70" w:type="dxa"/>
            </w:tcMar>
            <w:vAlign w:val="center"/>
            <w:hideMark/>
          </w:tcPr>
          <w:p w14:paraId="6E1E940F" w14:textId="77777777" w:rsidR="00A03F2C" w:rsidRPr="00A03F2C" w:rsidRDefault="00A03F2C" w:rsidP="00A03F2C">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Penetrace</w:t>
            </w:r>
          </w:p>
        </w:tc>
      </w:tr>
      <w:tr w:rsidR="00A03F2C" w:rsidRPr="00A03F2C" w14:paraId="1FD81DE0" w14:textId="77777777" w:rsidTr="00487C34">
        <w:trPr>
          <w:trHeight w:val="450"/>
          <w:jc w:val="center"/>
        </w:trPr>
        <w:tc>
          <w:tcPr>
            <w:tcW w:w="593" w:type="pct"/>
            <w:vMerge/>
            <w:shd w:val="clear" w:color="auto" w:fill="C6D9F1"/>
            <w:vAlign w:val="center"/>
            <w:hideMark/>
          </w:tcPr>
          <w:p w14:paraId="27CE9550" w14:textId="77777777" w:rsidR="00A03F2C" w:rsidRPr="00A03F2C" w:rsidRDefault="00A03F2C" w:rsidP="00A03F2C">
            <w:pPr>
              <w:suppressAutoHyphens w:val="0"/>
              <w:spacing w:after="0" w:line="240" w:lineRule="auto"/>
              <w:rPr>
                <w:rFonts w:eastAsia="Calibri" w:cs="Calibri"/>
                <w:b/>
                <w:bCs/>
                <w:color w:val="000000"/>
                <w:lang w:eastAsia="cs-CZ"/>
              </w:rPr>
            </w:pPr>
          </w:p>
        </w:tc>
        <w:tc>
          <w:tcPr>
            <w:tcW w:w="741" w:type="pct"/>
            <w:vMerge/>
            <w:tcBorders>
              <w:bottom w:val="single" w:sz="8" w:space="0" w:color="000000"/>
            </w:tcBorders>
            <w:shd w:val="clear" w:color="auto" w:fill="C6D9F1"/>
            <w:vAlign w:val="center"/>
            <w:hideMark/>
          </w:tcPr>
          <w:p w14:paraId="3B42D8A8" w14:textId="77777777" w:rsidR="00A03F2C" w:rsidRPr="00A03F2C" w:rsidRDefault="00A03F2C" w:rsidP="00A03F2C">
            <w:pPr>
              <w:suppressAutoHyphens w:val="0"/>
              <w:spacing w:after="0" w:line="240" w:lineRule="auto"/>
              <w:rPr>
                <w:rFonts w:eastAsia="Calibri" w:cs="Calibri"/>
                <w:b/>
                <w:bCs/>
                <w:color w:val="000000"/>
                <w:lang w:eastAsia="cs-CZ"/>
              </w:rPr>
            </w:pPr>
          </w:p>
        </w:tc>
        <w:tc>
          <w:tcPr>
            <w:tcW w:w="741" w:type="pct"/>
            <w:vMerge/>
            <w:tcBorders>
              <w:bottom w:val="single" w:sz="8" w:space="0" w:color="000000"/>
            </w:tcBorders>
            <w:shd w:val="clear" w:color="auto" w:fill="C6D9F1"/>
            <w:vAlign w:val="center"/>
            <w:hideMark/>
          </w:tcPr>
          <w:p w14:paraId="0E7E8086" w14:textId="77777777" w:rsidR="00A03F2C" w:rsidRPr="00A03F2C" w:rsidRDefault="00A03F2C" w:rsidP="00A03F2C">
            <w:pPr>
              <w:suppressAutoHyphens w:val="0"/>
              <w:spacing w:after="0" w:line="240" w:lineRule="auto"/>
              <w:rPr>
                <w:rFonts w:eastAsia="Calibri" w:cs="Calibri"/>
                <w:b/>
                <w:bCs/>
                <w:color w:val="000000"/>
                <w:lang w:eastAsia="cs-CZ"/>
              </w:rPr>
            </w:pPr>
          </w:p>
        </w:tc>
        <w:tc>
          <w:tcPr>
            <w:tcW w:w="1050" w:type="pct"/>
            <w:vMerge/>
            <w:tcBorders>
              <w:bottom w:val="single" w:sz="8" w:space="0" w:color="000000"/>
            </w:tcBorders>
            <w:shd w:val="clear" w:color="auto" w:fill="C6D9F1"/>
            <w:vAlign w:val="center"/>
            <w:hideMark/>
          </w:tcPr>
          <w:p w14:paraId="26153FD7" w14:textId="77777777" w:rsidR="00A03F2C" w:rsidRPr="00A03F2C" w:rsidRDefault="00A03F2C" w:rsidP="00A03F2C">
            <w:pPr>
              <w:suppressAutoHyphens w:val="0"/>
              <w:spacing w:after="0" w:line="240" w:lineRule="auto"/>
              <w:rPr>
                <w:rFonts w:eastAsia="Calibri" w:cs="Calibri"/>
                <w:b/>
                <w:bCs/>
                <w:color w:val="000000"/>
                <w:lang w:eastAsia="cs-CZ"/>
              </w:rPr>
            </w:pPr>
          </w:p>
        </w:tc>
        <w:tc>
          <w:tcPr>
            <w:tcW w:w="1025" w:type="pct"/>
            <w:vMerge/>
            <w:tcBorders>
              <w:bottom w:val="single" w:sz="8" w:space="0" w:color="000000"/>
            </w:tcBorders>
            <w:shd w:val="clear" w:color="auto" w:fill="C6D9F1"/>
            <w:vAlign w:val="center"/>
            <w:hideMark/>
          </w:tcPr>
          <w:p w14:paraId="183EE690" w14:textId="77777777" w:rsidR="00A03F2C" w:rsidRPr="00A03F2C" w:rsidRDefault="00A03F2C" w:rsidP="00A03F2C">
            <w:pPr>
              <w:suppressAutoHyphens w:val="0"/>
              <w:spacing w:after="0" w:line="240" w:lineRule="auto"/>
              <w:rPr>
                <w:rFonts w:eastAsia="Calibri" w:cs="Calibri"/>
                <w:b/>
                <w:bCs/>
                <w:color w:val="000000"/>
                <w:lang w:eastAsia="cs-CZ"/>
              </w:rPr>
            </w:pPr>
          </w:p>
        </w:tc>
        <w:tc>
          <w:tcPr>
            <w:tcW w:w="850" w:type="pct"/>
            <w:vMerge/>
            <w:tcBorders>
              <w:bottom w:val="single" w:sz="8" w:space="0" w:color="000000"/>
            </w:tcBorders>
            <w:shd w:val="clear" w:color="auto" w:fill="C6D9F1"/>
            <w:vAlign w:val="center"/>
            <w:hideMark/>
          </w:tcPr>
          <w:p w14:paraId="401FD26B" w14:textId="77777777" w:rsidR="00A03F2C" w:rsidRPr="00A03F2C" w:rsidRDefault="00A03F2C" w:rsidP="00A03F2C">
            <w:pPr>
              <w:suppressAutoHyphens w:val="0"/>
              <w:spacing w:after="0" w:line="240" w:lineRule="auto"/>
              <w:rPr>
                <w:rFonts w:eastAsia="Calibri" w:cs="Calibri"/>
                <w:b/>
                <w:bCs/>
                <w:color w:val="000000"/>
                <w:lang w:eastAsia="cs-CZ"/>
              </w:rPr>
            </w:pPr>
          </w:p>
        </w:tc>
      </w:tr>
      <w:tr w:rsidR="00487C34" w:rsidRPr="00A03F2C" w14:paraId="1F584390"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40FEED65"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0-4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EE61F6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D504302"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31 125</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B27763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31 125</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3EF420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511 058</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CC4A76F"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6,1 %</w:t>
            </w:r>
          </w:p>
        </w:tc>
      </w:tr>
      <w:tr w:rsidR="00487C34" w:rsidRPr="00A03F2C" w14:paraId="05A2BBE4"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1824B711"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5-9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38FD32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FA4600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57 703</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005A73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57 703</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3EDCB2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591 172</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497FBC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9,8 %</w:t>
            </w:r>
          </w:p>
        </w:tc>
      </w:tr>
      <w:tr w:rsidR="00487C34" w:rsidRPr="00A03F2C" w14:paraId="468C7892"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4F0ECF1A"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10-14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62BF7E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FD2427E"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51 211</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04DB2FE"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51 211</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FD87E3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588 553</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F6F93F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8,7 %</w:t>
            </w:r>
          </w:p>
        </w:tc>
      </w:tr>
      <w:tr w:rsidR="00487C34" w:rsidRPr="00A03F2C" w14:paraId="1419A405"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15FA4CF6"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15-17</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E673DA1"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9B40F2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30 571</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BB6E1F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30 571</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208093E"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380 150</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95745B3"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8,0 %</w:t>
            </w:r>
          </w:p>
        </w:tc>
      </w:tr>
      <w:tr w:rsidR="00487C34" w:rsidRPr="00A03F2C" w14:paraId="2E9F4129"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36B60BF0"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18-19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0F4D1E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B254AF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20 913</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0BA64A3"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20 913</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9B3A44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238 436</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BB1CA0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8,8 %</w:t>
            </w:r>
          </w:p>
        </w:tc>
      </w:tr>
      <w:tr w:rsidR="00487C34" w:rsidRPr="00A03F2C" w14:paraId="6DE31EAD"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2E938F99"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20-24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DF8A1E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6689D31"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90 708</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663658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90 708</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E39AD5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529 106</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5BC24F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17,1 %</w:t>
            </w:r>
          </w:p>
        </w:tc>
      </w:tr>
      <w:tr w:rsidR="00487C34" w:rsidRPr="00A03F2C" w14:paraId="023D19FC"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3D1CB1DB"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25-29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0E004B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D209D8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151 153</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747B90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151 153</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59226EC"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530 337</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2EBFC5C"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themeColor="text1"/>
                <w:lang w:eastAsia="cs-CZ"/>
              </w:rPr>
            </w:pPr>
            <w:r w:rsidRPr="009D2306">
              <w:rPr>
                <w:rFonts w:asciiTheme="minorHAnsi" w:hAnsiTheme="minorHAnsi" w:cstheme="minorHAnsi"/>
                <w:color w:val="000000" w:themeColor="text1"/>
              </w:rPr>
              <w:t>28,5 %</w:t>
            </w:r>
          </w:p>
        </w:tc>
      </w:tr>
      <w:tr w:rsidR="00487C34" w:rsidRPr="00A03F2C" w14:paraId="77D57B4C"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7D1A93BD"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30-34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FA2A68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83 811</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DDB9D5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195 574</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D2F64F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279 385</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E418CE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689 599</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3C7821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themeColor="text1"/>
                <w:lang w:eastAsia="cs-CZ"/>
              </w:rPr>
            </w:pPr>
            <w:r w:rsidRPr="009D2306">
              <w:rPr>
                <w:rFonts w:asciiTheme="minorHAnsi" w:hAnsiTheme="minorHAnsi" w:cstheme="minorHAnsi"/>
                <w:color w:val="000000" w:themeColor="text1"/>
              </w:rPr>
              <w:t>40,5 %</w:t>
            </w:r>
          </w:p>
        </w:tc>
      </w:tr>
      <w:tr w:rsidR="00487C34" w:rsidRPr="00A03F2C" w14:paraId="14D68D6B"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53E80A7E"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35-39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7E7759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170 390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596F852"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208 840</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BC1532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379 230</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29FF88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739 361</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E0F1CF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51,3 %</w:t>
            </w:r>
          </w:p>
        </w:tc>
      </w:tr>
      <w:tr w:rsidR="00487C34" w:rsidRPr="00A03F2C" w14:paraId="3E149EAC"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05FBEE02"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40-44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CE675AE"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217 521</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03D5B7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215 428</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CEADA7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432 949</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8CBF933"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774 752</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423D7A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55,9 %</w:t>
            </w:r>
          </w:p>
        </w:tc>
      </w:tr>
      <w:tr w:rsidR="00487C34" w:rsidRPr="00A03F2C" w14:paraId="35680159"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3817FC22"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45-49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B30816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297 170</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EE189E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262 457</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D7497A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559 627</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CEA734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929 016</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9553891"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60,2 %</w:t>
            </w:r>
          </w:p>
        </w:tc>
      </w:tr>
      <w:tr w:rsidR="00487C34" w:rsidRPr="00A03F2C" w14:paraId="3D1CD02C"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720871AB"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50-54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8FDB21E"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315 908</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7A7129F"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261 489</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F8242E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577 397</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34DED1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840 526</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F8D5C5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68,7 %</w:t>
            </w:r>
          </w:p>
        </w:tc>
      </w:tr>
      <w:tr w:rsidR="00487C34" w:rsidRPr="00A03F2C" w14:paraId="4FF959A6"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156AFBE8"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55-59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44EB78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273 175</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AE4152F"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184 071</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B0D5CB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457 246</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AAA3AD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677 244</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F9EF3BC"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67,5 %</w:t>
            </w:r>
          </w:p>
        </w:tc>
      </w:tr>
      <w:tr w:rsidR="00487C34" w:rsidRPr="00A03F2C" w14:paraId="7BEB1C6F"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2BF113CA"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60-64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A91081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197 254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8F0672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140 965</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9B1DBE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338 219</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074DB7C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634 303</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B905A7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53,3 %</w:t>
            </w:r>
          </w:p>
        </w:tc>
      </w:tr>
      <w:tr w:rsidR="00487C34" w:rsidRPr="00A03F2C" w14:paraId="0EE97A36"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05AEB7AD"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65-69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AC92A50"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60 925</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268F6F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87 426</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FD7022C"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148 351</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67B44C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613 533</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20A4442"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24,2 %</w:t>
            </w:r>
          </w:p>
        </w:tc>
      </w:tr>
      <w:tr w:rsidR="00487C34" w:rsidRPr="00A03F2C" w14:paraId="50A66A17"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2E022231"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70-74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2E66A9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46 911</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7C943D4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78 982</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DFFDADB"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125 893</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B7BEC62"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613 427</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C2849D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20,5 %</w:t>
            </w:r>
          </w:p>
        </w:tc>
      </w:tr>
      <w:tr w:rsidR="00487C34" w:rsidRPr="00A03F2C" w14:paraId="0EA7BE91"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1B40E726"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75-79</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3F05AC6"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40 308</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6D719B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56 801</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502A61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97 109</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1AAE96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509 125</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4C8992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19,1 %</w:t>
            </w:r>
          </w:p>
        </w:tc>
      </w:tr>
      <w:tr w:rsidR="00487C34" w:rsidRPr="00A03F2C" w14:paraId="60269199"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544674E6"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80-84</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DFF8C8C"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24 247</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FBFAD67"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26 404</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376C1A64"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50 651</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93D3D3A"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307 862</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4D62BE2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16,5 %</w:t>
            </w:r>
          </w:p>
        </w:tc>
      </w:tr>
      <w:tr w:rsidR="00487C34" w:rsidRPr="00A03F2C" w14:paraId="2DA27C57" w14:textId="77777777" w:rsidTr="00487C34">
        <w:trPr>
          <w:trHeight w:val="330"/>
          <w:jc w:val="center"/>
        </w:trPr>
        <w:tc>
          <w:tcPr>
            <w:tcW w:w="593" w:type="pct"/>
            <w:tcBorders>
              <w:right w:val="single" w:sz="8" w:space="0" w:color="000000"/>
            </w:tcBorders>
            <w:noWrap/>
            <w:tcMar>
              <w:top w:w="0" w:type="dxa"/>
              <w:left w:w="70" w:type="dxa"/>
              <w:bottom w:w="0" w:type="dxa"/>
              <w:right w:w="70" w:type="dxa"/>
            </w:tcMar>
            <w:vAlign w:val="center"/>
            <w:hideMark/>
          </w:tcPr>
          <w:p w14:paraId="42AC7ED6" w14:textId="77777777" w:rsidR="00487C34" w:rsidRPr="00A03F2C" w:rsidRDefault="00487C34" w:rsidP="00487C34">
            <w:pPr>
              <w:suppressAutoHyphens w:val="0"/>
              <w:spacing w:after="0" w:line="240" w:lineRule="auto"/>
              <w:jc w:val="center"/>
              <w:rPr>
                <w:rFonts w:eastAsia="Calibri" w:cs="Calibri"/>
                <w:b/>
                <w:color w:val="000000"/>
                <w:lang w:eastAsia="cs-CZ"/>
              </w:rPr>
            </w:pPr>
            <w:r w:rsidRPr="00A03F2C">
              <w:rPr>
                <w:rFonts w:eastAsia="Calibri" w:cs="Calibri"/>
                <w:b/>
                <w:color w:val="000000"/>
                <w:lang w:eastAsia="cs-CZ"/>
              </w:rPr>
              <w:t>85-xx</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E8AB2E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21 977</w:t>
            </w:r>
          </w:p>
        </w:tc>
        <w:tc>
          <w:tcPr>
            <w:tcW w:w="741"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59FF3079"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12 241</w:t>
            </w:r>
          </w:p>
        </w:tc>
        <w:tc>
          <w:tcPr>
            <w:tcW w:w="10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2DF36DE5"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34 218</w:t>
            </w:r>
          </w:p>
        </w:tc>
        <w:tc>
          <w:tcPr>
            <w:tcW w:w="1025"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6ECBBF28"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211 940</w:t>
            </w:r>
          </w:p>
        </w:tc>
        <w:tc>
          <w:tcPr>
            <w:tcW w:w="850" w:type="pct"/>
            <w:tcBorders>
              <w:top w:val="single" w:sz="8" w:space="0" w:color="000000"/>
              <w:left w:val="single" w:sz="8" w:space="0" w:color="000000"/>
              <w:bottom w:val="single" w:sz="8" w:space="0" w:color="000000"/>
              <w:right w:val="single" w:sz="8" w:space="0" w:color="000000"/>
            </w:tcBorders>
            <w:shd w:val="clear" w:color="auto" w:fill="auto"/>
            <w:noWrap/>
            <w:tcMar>
              <w:top w:w="0" w:type="dxa"/>
              <w:left w:w="70" w:type="dxa"/>
              <w:bottom w:w="0" w:type="dxa"/>
              <w:right w:w="70" w:type="dxa"/>
            </w:tcMar>
            <w:vAlign w:val="center"/>
          </w:tcPr>
          <w:p w14:paraId="197160FD" w14:textId="77777777" w:rsidR="00487C34" w:rsidRPr="009D2306" w:rsidRDefault="00487C34" w:rsidP="00487C34">
            <w:pPr>
              <w:suppressAutoHyphens w:val="0"/>
              <w:spacing w:after="0" w:line="240" w:lineRule="auto"/>
              <w:jc w:val="right"/>
              <w:rPr>
                <w:rFonts w:asciiTheme="minorHAnsi" w:eastAsia="Calibri" w:hAnsiTheme="minorHAnsi" w:cstheme="minorHAnsi"/>
                <w:color w:val="000000"/>
                <w:lang w:eastAsia="cs-CZ"/>
              </w:rPr>
            </w:pPr>
            <w:r w:rsidRPr="009D2306">
              <w:rPr>
                <w:rFonts w:asciiTheme="minorHAnsi" w:hAnsiTheme="minorHAnsi" w:cstheme="minorHAnsi"/>
                <w:color w:val="000000"/>
              </w:rPr>
              <w:t>16,1 %</w:t>
            </w:r>
          </w:p>
        </w:tc>
      </w:tr>
      <w:tr w:rsidR="00487C34" w:rsidRPr="00A03F2C" w14:paraId="1CE0F87F" w14:textId="77777777" w:rsidTr="00487C34">
        <w:trPr>
          <w:trHeight w:val="330"/>
          <w:jc w:val="center"/>
        </w:trPr>
        <w:tc>
          <w:tcPr>
            <w:tcW w:w="593" w:type="pct"/>
            <w:tcBorders>
              <w:right w:val="single" w:sz="8" w:space="0" w:color="000000"/>
            </w:tcBorders>
            <w:shd w:val="clear" w:color="auto" w:fill="C6D9F1"/>
            <w:noWrap/>
            <w:tcMar>
              <w:top w:w="0" w:type="dxa"/>
              <w:left w:w="70" w:type="dxa"/>
              <w:bottom w:w="0" w:type="dxa"/>
              <w:right w:w="70" w:type="dxa"/>
            </w:tcMar>
            <w:vAlign w:val="center"/>
            <w:hideMark/>
          </w:tcPr>
          <w:p w14:paraId="4D88D272" w14:textId="77777777" w:rsidR="00487C34" w:rsidRPr="00A03F2C" w:rsidRDefault="00487C34" w:rsidP="00487C34">
            <w:pPr>
              <w:suppressAutoHyphens w:val="0"/>
              <w:spacing w:after="0" w:line="240" w:lineRule="auto"/>
              <w:jc w:val="center"/>
              <w:rPr>
                <w:rFonts w:eastAsia="Calibri" w:cs="Calibri"/>
                <w:b/>
                <w:bCs/>
                <w:color w:val="000000"/>
                <w:lang w:eastAsia="cs-CZ"/>
              </w:rPr>
            </w:pPr>
            <w:r w:rsidRPr="00A03F2C">
              <w:rPr>
                <w:rFonts w:eastAsia="Calibri" w:cs="Calibri"/>
                <w:b/>
                <w:bCs/>
                <w:color w:val="000000"/>
                <w:lang w:eastAsia="cs-CZ"/>
              </w:rPr>
              <w:t>Celkem</w:t>
            </w:r>
          </w:p>
        </w:tc>
        <w:tc>
          <w:tcPr>
            <w:tcW w:w="741" w:type="pct"/>
            <w:tcBorders>
              <w:top w:val="single" w:sz="8" w:space="0" w:color="000000"/>
              <w:left w:val="single" w:sz="8" w:space="0" w:color="000000"/>
              <w:bottom w:val="single" w:sz="8" w:space="0" w:color="000000"/>
              <w:right w:val="single" w:sz="8" w:space="0" w:color="000000"/>
            </w:tcBorders>
            <w:shd w:val="clear" w:color="auto" w:fill="C6D9F1"/>
            <w:noWrap/>
            <w:tcMar>
              <w:top w:w="0" w:type="dxa"/>
              <w:left w:w="70" w:type="dxa"/>
              <w:bottom w:w="0" w:type="dxa"/>
              <w:right w:w="70" w:type="dxa"/>
            </w:tcMar>
            <w:vAlign w:val="center"/>
          </w:tcPr>
          <w:p w14:paraId="14FE4C23" w14:textId="77777777" w:rsidR="00487C34" w:rsidRPr="009D2306" w:rsidRDefault="00487C34" w:rsidP="00487C34">
            <w:pPr>
              <w:suppressAutoHyphens w:val="0"/>
              <w:spacing w:after="0" w:line="240" w:lineRule="auto"/>
              <w:jc w:val="right"/>
              <w:rPr>
                <w:rFonts w:asciiTheme="minorHAnsi" w:eastAsia="Calibri" w:hAnsiTheme="minorHAnsi" w:cstheme="minorHAnsi"/>
                <w:b/>
                <w:bCs/>
                <w:color w:val="000000"/>
                <w:lang w:eastAsia="cs-CZ"/>
              </w:rPr>
            </w:pPr>
            <w:r w:rsidRPr="009D2306">
              <w:rPr>
                <w:rFonts w:asciiTheme="minorHAnsi" w:hAnsiTheme="minorHAnsi" w:cstheme="minorHAnsi"/>
                <w:b/>
                <w:bCs/>
                <w:color w:val="000000"/>
              </w:rPr>
              <w:t>1 749 597</w:t>
            </w:r>
          </w:p>
        </w:tc>
        <w:tc>
          <w:tcPr>
            <w:tcW w:w="741" w:type="pct"/>
            <w:tcBorders>
              <w:top w:val="single" w:sz="8" w:space="0" w:color="000000"/>
              <w:left w:val="single" w:sz="8" w:space="0" w:color="000000"/>
              <w:bottom w:val="single" w:sz="8" w:space="0" w:color="000000"/>
              <w:right w:val="single" w:sz="8" w:space="0" w:color="000000"/>
            </w:tcBorders>
            <w:shd w:val="clear" w:color="auto" w:fill="C6D9F1"/>
            <w:noWrap/>
            <w:tcMar>
              <w:top w:w="0" w:type="dxa"/>
              <w:left w:w="70" w:type="dxa"/>
              <w:bottom w:w="0" w:type="dxa"/>
              <w:right w:w="70" w:type="dxa"/>
            </w:tcMar>
            <w:vAlign w:val="center"/>
          </w:tcPr>
          <w:p w14:paraId="7ABBA3B1" w14:textId="77777777" w:rsidR="00487C34" w:rsidRPr="009D2306" w:rsidRDefault="00487C34" w:rsidP="00487C34">
            <w:pPr>
              <w:suppressAutoHyphens w:val="0"/>
              <w:spacing w:after="0" w:line="240" w:lineRule="auto"/>
              <w:jc w:val="right"/>
              <w:rPr>
                <w:rFonts w:asciiTheme="minorHAnsi" w:eastAsia="Calibri" w:hAnsiTheme="minorHAnsi" w:cstheme="minorHAnsi"/>
                <w:b/>
                <w:bCs/>
                <w:color w:val="000000"/>
                <w:lang w:eastAsia="cs-CZ"/>
              </w:rPr>
            </w:pPr>
            <w:r w:rsidRPr="009D2306">
              <w:rPr>
                <w:rFonts w:asciiTheme="minorHAnsi" w:hAnsiTheme="minorHAnsi" w:cstheme="minorHAnsi"/>
                <w:b/>
                <w:bCs/>
                <w:color w:val="000000"/>
              </w:rPr>
              <w:t>2 164 062</w:t>
            </w:r>
          </w:p>
        </w:tc>
        <w:tc>
          <w:tcPr>
            <w:tcW w:w="1050" w:type="pct"/>
            <w:tcBorders>
              <w:top w:val="single" w:sz="8" w:space="0" w:color="000000"/>
              <w:left w:val="single" w:sz="8" w:space="0" w:color="000000"/>
              <w:bottom w:val="single" w:sz="8" w:space="0" w:color="000000"/>
              <w:right w:val="single" w:sz="8" w:space="0" w:color="000000"/>
            </w:tcBorders>
            <w:shd w:val="clear" w:color="auto" w:fill="C6D9F1"/>
            <w:noWrap/>
            <w:tcMar>
              <w:top w:w="0" w:type="dxa"/>
              <w:left w:w="70" w:type="dxa"/>
              <w:bottom w:w="0" w:type="dxa"/>
              <w:right w:w="70" w:type="dxa"/>
            </w:tcMar>
            <w:vAlign w:val="center"/>
          </w:tcPr>
          <w:p w14:paraId="0B83BA5C" w14:textId="77777777" w:rsidR="00487C34" w:rsidRPr="009D2306" w:rsidRDefault="00487C34" w:rsidP="00487C34">
            <w:pPr>
              <w:suppressAutoHyphens w:val="0"/>
              <w:spacing w:after="0" w:line="240" w:lineRule="auto"/>
              <w:jc w:val="right"/>
              <w:rPr>
                <w:rFonts w:asciiTheme="minorHAnsi" w:eastAsia="Calibri" w:hAnsiTheme="minorHAnsi" w:cstheme="minorHAnsi"/>
                <w:b/>
                <w:bCs/>
                <w:color w:val="000000"/>
                <w:lang w:eastAsia="cs-CZ"/>
              </w:rPr>
            </w:pPr>
            <w:r w:rsidRPr="009D2306">
              <w:rPr>
                <w:rFonts w:asciiTheme="minorHAnsi" w:hAnsiTheme="minorHAnsi" w:cstheme="minorHAnsi"/>
                <w:b/>
                <w:bCs/>
                <w:color w:val="000000"/>
              </w:rPr>
              <w:t>3 913 659</w:t>
            </w:r>
          </w:p>
        </w:tc>
        <w:tc>
          <w:tcPr>
            <w:tcW w:w="1025" w:type="pct"/>
            <w:tcBorders>
              <w:top w:val="single" w:sz="8" w:space="0" w:color="000000"/>
              <w:left w:val="single" w:sz="8" w:space="0" w:color="000000"/>
              <w:bottom w:val="single" w:sz="8" w:space="0" w:color="000000"/>
              <w:right w:val="single" w:sz="8" w:space="0" w:color="000000"/>
            </w:tcBorders>
            <w:shd w:val="clear" w:color="auto" w:fill="C6D9F1"/>
            <w:noWrap/>
            <w:tcMar>
              <w:top w:w="0" w:type="dxa"/>
              <w:left w:w="70" w:type="dxa"/>
              <w:bottom w:w="0" w:type="dxa"/>
              <w:right w:w="70" w:type="dxa"/>
            </w:tcMar>
            <w:vAlign w:val="center"/>
          </w:tcPr>
          <w:p w14:paraId="5791150A" w14:textId="77777777" w:rsidR="00487C34" w:rsidRPr="009D2306" w:rsidRDefault="00487C34" w:rsidP="00487C34">
            <w:pPr>
              <w:suppressAutoHyphens w:val="0"/>
              <w:spacing w:after="0" w:line="240" w:lineRule="auto"/>
              <w:jc w:val="right"/>
              <w:rPr>
                <w:rFonts w:asciiTheme="minorHAnsi" w:eastAsia="Calibri" w:hAnsiTheme="minorHAnsi" w:cstheme="minorHAnsi"/>
                <w:b/>
                <w:bCs/>
                <w:color w:val="000000"/>
                <w:lang w:eastAsia="cs-CZ"/>
              </w:rPr>
            </w:pPr>
            <w:r w:rsidRPr="009D2306">
              <w:rPr>
                <w:rFonts w:asciiTheme="minorHAnsi" w:hAnsiTheme="minorHAnsi" w:cstheme="minorHAnsi"/>
                <w:b/>
                <w:bCs/>
                <w:color w:val="000000"/>
              </w:rPr>
              <w:t>10 909 500</w:t>
            </w:r>
          </w:p>
        </w:tc>
        <w:tc>
          <w:tcPr>
            <w:tcW w:w="850" w:type="pct"/>
            <w:tcBorders>
              <w:top w:val="single" w:sz="8" w:space="0" w:color="000000"/>
              <w:left w:val="single" w:sz="8" w:space="0" w:color="000000"/>
              <w:bottom w:val="single" w:sz="8" w:space="0" w:color="000000"/>
              <w:right w:val="single" w:sz="8" w:space="0" w:color="000000"/>
            </w:tcBorders>
            <w:shd w:val="clear" w:color="auto" w:fill="C6D9F1"/>
            <w:noWrap/>
            <w:tcMar>
              <w:top w:w="0" w:type="dxa"/>
              <w:left w:w="70" w:type="dxa"/>
              <w:bottom w:w="0" w:type="dxa"/>
              <w:right w:w="70" w:type="dxa"/>
            </w:tcMar>
            <w:vAlign w:val="center"/>
          </w:tcPr>
          <w:p w14:paraId="73E1149E" w14:textId="77777777" w:rsidR="00487C34" w:rsidRPr="009D2306" w:rsidRDefault="00487C34" w:rsidP="00487C34">
            <w:pPr>
              <w:suppressAutoHyphens w:val="0"/>
              <w:spacing w:after="0" w:line="240" w:lineRule="auto"/>
              <w:jc w:val="right"/>
              <w:rPr>
                <w:rFonts w:asciiTheme="minorHAnsi" w:eastAsia="Calibri" w:hAnsiTheme="minorHAnsi" w:cstheme="minorHAnsi"/>
                <w:b/>
                <w:bCs/>
                <w:color w:val="000000"/>
                <w:lang w:eastAsia="cs-CZ"/>
              </w:rPr>
            </w:pPr>
            <w:r w:rsidRPr="009D2306">
              <w:rPr>
                <w:rFonts w:asciiTheme="minorHAnsi" w:hAnsiTheme="minorHAnsi" w:cstheme="minorHAnsi"/>
                <w:b/>
                <w:bCs/>
                <w:color w:val="000000"/>
              </w:rPr>
              <w:t>35,9 %</w:t>
            </w:r>
          </w:p>
        </w:tc>
      </w:tr>
    </w:tbl>
    <w:p w14:paraId="7DA9E6CA" w14:textId="77777777" w:rsidR="00A03F2C" w:rsidRPr="00A03F2C" w:rsidRDefault="00A03F2C" w:rsidP="00A03F2C">
      <w:pPr>
        <w:spacing w:after="120"/>
        <w:ind w:left="5664" w:firstLine="708"/>
        <w:jc w:val="right"/>
        <w:rPr>
          <w:rFonts w:eastAsia="Calibri"/>
          <w:sz w:val="18"/>
        </w:rPr>
      </w:pPr>
      <w:r w:rsidRPr="00A03F2C">
        <w:rPr>
          <w:rFonts w:eastAsia="Calibri"/>
          <w:sz w:val="18"/>
        </w:rPr>
        <w:t>Zdroj: MF, ČSÚ, výpočty</w:t>
      </w:r>
      <w:r w:rsidR="00376091">
        <w:rPr>
          <w:rFonts w:eastAsia="Calibri"/>
          <w:sz w:val="18"/>
        </w:rPr>
        <w:t xml:space="preserve"> MF</w:t>
      </w:r>
    </w:p>
    <w:p w14:paraId="7A07DE99" w14:textId="77777777" w:rsidR="00A03F2C" w:rsidRPr="009D2306" w:rsidRDefault="00A03F2C" w:rsidP="00A03F2C">
      <w:pPr>
        <w:spacing w:after="120"/>
        <w:jc w:val="both"/>
        <w:rPr>
          <w:rFonts w:eastAsia="Calibri"/>
        </w:rPr>
      </w:pPr>
      <w:r w:rsidRPr="00A03F2C">
        <w:rPr>
          <w:rFonts w:eastAsia="Calibri"/>
        </w:rPr>
        <w:t>V rámci investování do penzijních produktů je přitom jedním se zásadních parametrů zv</w:t>
      </w:r>
      <w:r w:rsidR="00164E31">
        <w:rPr>
          <w:rFonts w:eastAsia="Calibri"/>
        </w:rPr>
        <w:t>yšujících výši celkové naspořené</w:t>
      </w:r>
      <w:r w:rsidRPr="00A03F2C">
        <w:rPr>
          <w:rFonts w:eastAsia="Calibri"/>
        </w:rPr>
        <w:t xml:space="preserve"> částky díky mechanismu složeného úročení doba spoření. V tomto ohledu je tedy žádoucí, aby účastníci do systému DPS vstupovali v</w:t>
      </w:r>
      <w:r w:rsidR="00F006AA">
        <w:rPr>
          <w:rFonts w:eastAsia="Calibri"/>
        </w:rPr>
        <w:t xml:space="preserve"> co </w:t>
      </w:r>
      <w:r w:rsidRPr="00A03F2C">
        <w:rPr>
          <w:rFonts w:eastAsia="Calibri"/>
        </w:rPr>
        <w:t xml:space="preserve">nejnižším věku. Vstup většího počtu nezletilých účastníků do systému DPS než v současné době by měla podpořit již výše navrhovaná změna (snížení podmínky nároku na státní příspěvek spočívající v minimální výši příspěvku účastníka), ale může být </w:t>
      </w:r>
      <w:r w:rsidRPr="00A03F2C">
        <w:rPr>
          <w:rFonts w:eastAsia="Calibri"/>
        </w:rPr>
        <w:lastRenderedPageBreak/>
        <w:t>vhodné vstup nezletilých účastníků ještě dále zatraktivnit prostřednictvím zvýšení státního příspěvku. Obdobně vzhledem k nízkému zapojení i mladých dospělých účastníků (18–29 let) je v souladu s cílem prodloužení doby spoření prostřednictvím zvýšení zapojení mladších věkových kategorií vhodné uvažovat i o podpoře této věkové kategorie. Z tabulky penetrace PP a DPS (</w:t>
      </w:r>
      <w:r w:rsidRPr="009D2306">
        <w:rPr>
          <w:rFonts w:eastAsia="Calibri"/>
        </w:rPr>
        <w:t xml:space="preserve">tabulka </w:t>
      </w:r>
      <w:r w:rsidR="00BA7E70" w:rsidRPr="009D2306">
        <w:rPr>
          <w:rFonts w:eastAsia="Calibri"/>
        </w:rPr>
        <w:t>10</w:t>
      </w:r>
      <w:r w:rsidRPr="009D2306">
        <w:rPr>
          <w:rFonts w:eastAsia="Calibri"/>
        </w:rPr>
        <w:t xml:space="preserve">) vyplývá vhodné vymezení věkové kategorie mladých dospělých určením dolní věkové hranice od narození (0 let) a horní věkové hranice jako nedosažení věku 30 let. Od věku 30 let je totiž penetrace PP a DPS významně vyšší a účinnost podpory účastníků ve věku 30 a více let by se tak mohla značně zmenšovat. </w:t>
      </w:r>
    </w:p>
    <w:p w14:paraId="1AF3804E" w14:textId="77777777" w:rsidR="00A03F2C" w:rsidRPr="009D2306" w:rsidRDefault="001434B5" w:rsidP="00A03F2C">
      <w:pPr>
        <w:spacing w:after="120"/>
        <w:jc w:val="both"/>
        <w:rPr>
          <w:rFonts w:eastAsia="Calibri"/>
        </w:rPr>
      </w:pPr>
      <w:r w:rsidRPr="009D2306">
        <w:rPr>
          <w:rFonts w:eastAsia="Calibri"/>
        </w:rPr>
        <w:t>Penetrace DPS ke konci roku 2025</w:t>
      </w:r>
      <w:r w:rsidR="00A03F2C" w:rsidRPr="009D2306">
        <w:rPr>
          <w:rFonts w:eastAsia="Calibri"/>
        </w:rPr>
        <w:t xml:space="preserve"> v případě nezletilých účastníků</w:t>
      </w:r>
      <w:r w:rsidRPr="009D2306">
        <w:rPr>
          <w:rFonts w:eastAsia="Calibri"/>
        </w:rPr>
        <w:t>, jejichž počet činil 170,6 tis., dosáhla 8,2</w:t>
      </w:r>
      <w:r w:rsidR="00A03F2C" w:rsidRPr="009D2306">
        <w:rPr>
          <w:rFonts w:eastAsia="Calibri"/>
        </w:rPr>
        <w:t xml:space="preserve"> %, což představovalo její dosud nejvyšší úroveň, neboť od roku 2016 počet nezletilých účastníků nepřetržitě rostl.</w:t>
      </w:r>
    </w:p>
    <w:p w14:paraId="0A8DF965" w14:textId="77777777" w:rsidR="00A03F2C" w:rsidRPr="00A03F2C" w:rsidRDefault="00A03F2C" w:rsidP="00A03F2C">
      <w:pPr>
        <w:spacing w:after="120"/>
        <w:jc w:val="both"/>
        <w:rPr>
          <w:rFonts w:eastAsia="Calibri"/>
        </w:rPr>
      </w:pPr>
      <w:r w:rsidRPr="009D2306">
        <w:rPr>
          <w:rFonts w:eastAsia="Calibri"/>
        </w:rPr>
        <w:t xml:space="preserve">Pokud jde o účastníky, kterým bylo nejméně 18 let a nedosáhli věku 30 </w:t>
      </w:r>
      <w:r w:rsidR="000A5D66" w:rsidRPr="009D2306">
        <w:rPr>
          <w:rFonts w:eastAsia="Calibri"/>
        </w:rPr>
        <w:t>let (dále „účastníci ve věku 18 </w:t>
      </w:r>
      <w:r w:rsidRPr="009D2306">
        <w:rPr>
          <w:rFonts w:eastAsia="Calibri"/>
        </w:rPr>
        <w:t xml:space="preserve">až 29 let“), jejichž počet ke </w:t>
      </w:r>
      <w:r w:rsidR="009E391C" w:rsidRPr="009D2306">
        <w:rPr>
          <w:rFonts w:eastAsia="Calibri"/>
        </w:rPr>
        <w:t>konci roku 2025</w:t>
      </w:r>
      <w:r w:rsidR="001434B5" w:rsidRPr="009D2306">
        <w:rPr>
          <w:rFonts w:eastAsia="Calibri"/>
        </w:rPr>
        <w:t xml:space="preserve"> činil 262,8 tis.</w:t>
      </w:r>
      <w:r w:rsidR="009E391C" w:rsidRPr="009D2306">
        <w:rPr>
          <w:rFonts w:eastAsia="Calibri"/>
        </w:rPr>
        <w:t xml:space="preserve">, </w:t>
      </w:r>
      <w:r w:rsidR="001434B5" w:rsidRPr="009D2306">
        <w:rPr>
          <w:rFonts w:eastAsia="Calibri"/>
        </w:rPr>
        <w:t xml:space="preserve">penetrace </w:t>
      </w:r>
      <w:r w:rsidR="009E391C" w:rsidRPr="009D2306">
        <w:rPr>
          <w:rFonts w:eastAsia="Calibri"/>
        </w:rPr>
        <w:t xml:space="preserve">dosáhla </w:t>
      </w:r>
      <w:r w:rsidR="001434B5" w:rsidRPr="009D2306">
        <w:rPr>
          <w:rFonts w:eastAsia="Calibri"/>
        </w:rPr>
        <w:t>20,2</w:t>
      </w:r>
      <w:r w:rsidRPr="009D2306">
        <w:rPr>
          <w:rFonts w:eastAsia="Calibri"/>
        </w:rPr>
        <w:t xml:space="preserve"> %. Z</w:t>
      </w:r>
      <w:r w:rsidRPr="00A03F2C">
        <w:rPr>
          <w:rFonts w:eastAsia="Calibri"/>
        </w:rPr>
        <w:t> pohledu historie přitom zastoupení věkové kategorie 18 až</w:t>
      </w:r>
      <w:r w:rsidR="00EC4F0F">
        <w:rPr>
          <w:rFonts w:eastAsia="Calibri"/>
        </w:rPr>
        <w:t xml:space="preserve"> 29 let v doplňkovém penzijním systému</w:t>
      </w:r>
      <w:r w:rsidRPr="00A03F2C">
        <w:rPr>
          <w:rFonts w:eastAsia="Calibri"/>
        </w:rPr>
        <w:t xml:space="preserve"> nebylo vždy takto nízké, když svého vrcholu dosáhlo na konci roku 2012, kdy se systému PP účastnilo 49 % všech obyvatel ČR ve věku 18 až 29 let. Nicméně to představovalo mimořádnou situaci spojenou s velkou reformou soukromého penzijního systému účinnou od 1. 1. 2013, kdy účastníkům PP byly automaticky převedeny jejich úspory při zachování původních podmínek smluv o penzijním připojištění (zejména tzv. garance nezáporného ročního zhodnocení) do transformovaných fondů, do nichž již nemohou vstupovat noví účastníci. Řada účastníků si tak tehdy chtěla zajistit podmínky smluv penzijního spoření i v budoucnosti, přičemž do systému PP vstoupilo během roku 2021 celkem 1 128,0 tis. nových účastníků (o 146,8 % více než během roku 2011), z nichž 31,6 % (356,7 tis) bylo ve věku 18 až 29 let. Tento bezprecedentní počet nových účastníků ve věku 18 až 29 let tak vedl ke konci roku 2012 ke zvýšení penetrace PP v této věkové kategorii na 49,0 %, přičemž na konci roku 2011 činila tato penetrace 33,4 %. </w:t>
      </w:r>
    </w:p>
    <w:p w14:paraId="03A54EFE" w14:textId="77777777" w:rsidR="00A03F2C" w:rsidRPr="00A03F2C" w:rsidRDefault="00A03F2C" w:rsidP="00A03F2C">
      <w:pPr>
        <w:spacing w:after="120"/>
        <w:jc w:val="both"/>
        <w:rPr>
          <w:rFonts w:eastAsia="Calibri"/>
        </w:rPr>
      </w:pPr>
      <w:r w:rsidRPr="00A03F2C">
        <w:rPr>
          <w:rFonts w:eastAsia="Calibri"/>
        </w:rPr>
        <w:t>Jako vhodná forma podpory motivace vstupu většího počtu nezletilých a mladých dospělých do systému DPS se jeví zvýšení procentuální výše státního příspěvků,</w:t>
      </w:r>
      <w:r w:rsidR="000A5D66">
        <w:rPr>
          <w:rFonts w:eastAsia="Calibri"/>
        </w:rPr>
        <w:t xml:space="preserve"> která je nyní 20 %. Jedná se o </w:t>
      </w:r>
      <w:r w:rsidRPr="00A03F2C">
        <w:rPr>
          <w:rFonts w:eastAsia="Calibri"/>
        </w:rPr>
        <w:t xml:space="preserve">jednoduché a komunikačně srozumitelné řešení vycházející ze současného nastavení poskytování státního příspěvku. Forma jednorázových motivačních příspěvků se nezdá jako vhodná, neboť je diskriminační vůči nezletilým a mladým dospělým účastníkům, kteří si již DPS založili a dále by tento způsob podpory mohl na určitou dobu pozastavit přirozený vstup do systému DPS z důvodu vyčkávání účastníků na začátek účinnosti výplaty jednorázového příspěvku. </w:t>
      </w:r>
    </w:p>
    <w:p w14:paraId="77D41BB2" w14:textId="77777777" w:rsidR="00A03F2C" w:rsidRPr="00A03F2C" w:rsidRDefault="00A03F2C" w:rsidP="00A03F2C">
      <w:pPr>
        <w:spacing w:after="120"/>
        <w:jc w:val="both"/>
        <w:rPr>
          <w:rFonts w:eastAsia="Calibri"/>
        </w:rPr>
      </w:pPr>
      <w:r w:rsidRPr="00A03F2C">
        <w:rPr>
          <w:rFonts w:eastAsia="Calibri"/>
        </w:rPr>
        <w:t>Jsou zvažovány 3 varianty řešení:</w:t>
      </w:r>
    </w:p>
    <w:p w14:paraId="1F376910" w14:textId="77777777" w:rsidR="00A03F2C" w:rsidRPr="00A03F2C" w:rsidRDefault="00A03F2C" w:rsidP="00A03F2C">
      <w:pPr>
        <w:numPr>
          <w:ilvl w:val="0"/>
          <w:numId w:val="44"/>
        </w:numPr>
        <w:suppressAutoHyphens w:val="0"/>
        <w:spacing w:after="120" w:line="259" w:lineRule="auto"/>
        <w:ind w:left="527" w:hanging="357"/>
        <w:jc w:val="both"/>
        <w:rPr>
          <w:rFonts w:eastAsia="Calibri"/>
        </w:rPr>
      </w:pPr>
      <w:r w:rsidRPr="00BA7E70">
        <w:rPr>
          <w:rFonts w:eastAsia="Calibri"/>
          <w:b/>
        </w:rPr>
        <w:t>Varianta 0</w:t>
      </w:r>
      <w:r w:rsidRPr="00A03F2C">
        <w:rPr>
          <w:rFonts w:eastAsia="Calibri"/>
        </w:rPr>
        <w:t>: Ponechání procentuální výše státního příspěvku (20 %)</w:t>
      </w:r>
    </w:p>
    <w:p w14:paraId="2BC645C8" w14:textId="77777777" w:rsidR="00A03F2C" w:rsidRPr="00A03F2C" w:rsidRDefault="00A03F2C" w:rsidP="00A03F2C">
      <w:pPr>
        <w:numPr>
          <w:ilvl w:val="0"/>
          <w:numId w:val="44"/>
        </w:numPr>
        <w:suppressAutoHyphens w:val="0"/>
        <w:spacing w:after="120" w:line="259" w:lineRule="auto"/>
        <w:ind w:left="527" w:hanging="357"/>
        <w:jc w:val="both"/>
        <w:rPr>
          <w:rFonts w:eastAsia="Calibri"/>
        </w:rPr>
      </w:pPr>
      <w:r w:rsidRPr="00BA7E70">
        <w:rPr>
          <w:rFonts w:eastAsia="Calibri"/>
          <w:b/>
        </w:rPr>
        <w:t>Varianta 1</w:t>
      </w:r>
      <w:r w:rsidRPr="00A03F2C">
        <w:rPr>
          <w:rFonts w:eastAsia="Calibri"/>
        </w:rPr>
        <w:t>: Zvýšení procentuální výše státního příspěvku na 25 %</w:t>
      </w:r>
    </w:p>
    <w:p w14:paraId="706FE19F" w14:textId="77777777" w:rsidR="00A03F2C" w:rsidRPr="00A03F2C" w:rsidRDefault="00A03F2C" w:rsidP="00A03F2C">
      <w:pPr>
        <w:numPr>
          <w:ilvl w:val="0"/>
          <w:numId w:val="44"/>
        </w:numPr>
        <w:suppressAutoHyphens w:val="0"/>
        <w:spacing w:after="120" w:line="259" w:lineRule="auto"/>
        <w:ind w:left="527" w:hanging="357"/>
        <w:jc w:val="both"/>
        <w:rPr>
          <w:rFonts w:eastAsia="Calibri"/>
        </w:rPr>
      </w:pPr>
      <w:r w:rsidRPr="00BA7E70">
        <w:rPr>
          <w:rFonts w:eastAsia="Calibri"/>
          <w:b/>
        </w:rPr>
        <w:t>Varianta 2</w:t>
      </w:r>
      <w:r w:rsidRPr="00A03F2C">
        <w:rPr>
          <w:rFonts w:eastAsia="Calibri"/>
        </w:rPr>
        <w:t>: Zvýšení procentuální výše státního příspěvku na 40 %</w:t>
      </w:r>
    </w:p>
    <w:p w14:paraId="0F2F740C" w14:textId="77777777" w:rsidR="00A03F2C" w:rsidRPr="00A03F2C" w:rsidRDefault="00A03F2C" w:rsidP="00A03F2C">
      <w:pPr>
        <w:keepNext/>
        <w:pBdr>
          <w:bottom w:val="single" w:sz="12" w:space="1" w:color="auto"/>
        </w:pBdr>
        <w:shd w:val="clear" w:color="auto" w:fill="FFFFFF"/>
        <w:suppressAutoHyphens w:val="0"/>
        <w:spacing w:before="240" w:after="60"/>
        <w:outlineLvl w:val="4"/>
        <w:rPr>
          <w:b/>
          <w:sz w:val="24"/>
        </w:rPr>
      </w:pPr>
      <w:r w:rsidRPr="00A03F2C">
        <w:rPr>
          <w:b/>
          <w:sz w:val="24"/>
        </w:rPr>
        <w:t xml:space="preserve">B) </w:t>
      </w:r>
      <w:r w:rsidRPr="00A03F2C">
        <w:rPr>
          <w:b/>
          <w:caps/>
          <w:sz w:val="24"/>
        </w:rPr>
        <w:t>Popis variant a identifikace a vyhodnocení jejich nákladů a přínosů</w:t>
      </w:r>
    </w:p>
    <w:p w14:paraId="2A839766" w14:textId="77777777" w:rsidR="00A03F2C" w:rsidRPr="00A03F2C" w:rsidRDefault="00A03F2C" w:rsidP="008D0578">
      <w:pPr>
        <w:keepNext/>
        <w:spacing w:before="120" w:after="120"/>
        <w:jc w:val="both"/>
        <w:rPr>
          <w:b/>
          <w:color w:val="1F497D"/>
          <w:lang w:eastAsia="cs-CZ"/>
        </w:rPr>
      </w:pPr>
      <w:r w:rsidRPr="00A03F2C">
        <w:rPr>
          <w:rFonts w:cs="Calibri"/>
          <w:b/>
          <w:color w:val="1F497D"/>
          <w:lang w:eastAsia="cs-CZ"/>
        </w:rPr>
        <w:t>Varianta 0: Ponechání procentuální výše státního příspěvku (20 %)</w:t>
      </w:r>
    </w:p>
    <w:p w14:paraId="1553EFE3" w14:textId="77777777" w:rsidR="00A03F2C" w:rsidRPr="00A03F2C" w:rsidRDefault="00A03F2C" w:rsidP="00A03F2C">
      <w:pPr>
        <w:spacing w:after="120"/>
        <w:jc w:val="both"/>
      </w:pPr>
      <w:r w:rsidRPr="00A03F2C">
        <w:t xml:space="preserve">V této variantě je zachován stávající stav, kdy </w:t>
      </w:r>
      <w:r w:rsidRPr="00A03F2C">
        <w:rPr>
          <w:rFonts w:eastAsia="Calibri"/>
        </w:rPr>
        <w:t xml:space="preserve">procentuální výše státního příspěvku </w:t>
      </w:r>
      <w:r w:rsidRPr="00A03F2C">
        <w:t xml:space="preserve">činí 20 % bez ohledu na věk účastníka. Minimální výše příspěvku účastníka pro přiznání státního příspěvku činí 500 Kč, resp. 100 Kč v případě nezletilých účastníků na základě vybraného nejvhodnějšího řešení předchozí </w:t>
      </w:r>
      <w:r w:rsidRPr="00A03F2C">
        <w:lastRenderedPageBreak/>
        <w:t>otázky ohledně snížení podmínky nároku na státní příspěvek spočívající v minimální výši příspěvku účastníka. Maximální výše příspěvku účastníka, nad kterou státní příspěvek dále neroste, je 1 700 Kč.</w:t>
      </w:r>
    </w:p>
    <w:p w14:paraId="5026840C" w14:textId="77777777" w:rsidR="00A03F2C" w:rsidRPr="00A03F2C" w:rsidRDefault="00A03F2C" w:rsidP="00A03F2C">
      <w:pPr>
        <w:keepNext/>
        <w:spacing w:after="120"/>
        <w:jc w:val="both"/>
        <w:rPr>
          <w:rFonts w:cs="Calibri"/>
          <w:b/>
          <w:color w:val="1F497D"/>
          <w:lang w:eastAsia="cs-CZ"/>
        </w:rPr>
      </w:pPr>
      <w:r w:rsidRPr="00A03F2C">
        <w:rPr>
          <w:rFonts w:cs="Calibri"/>
          <w:b/>
          <w:color w:val="1F497D"/>
          <w:lang w:eastAsia="cs-CZ"/>
        </w:rPr>
        <w:t>Varianta 1: Zvýšení procentuální výše státního příspěvku na 25 %</w:t>
      </w:r>
    </w:p>
    <w:p w14:paraId="70A49D1E" w14:textId="77777777" w:rsidR="00A03F2C" w:rsidRPr="00A03F2C" w:rsidRDefault="00A03F2C" w:rsidP="00A03F2C">
      <w:pPr>
        <w:spacing w:after="120"/>
        <w:jc w:val="both"/>
      </w:pPr>
      <w:r w:rsidRPr="00A03F2C">
        <w:t>Tato varianta předpokládá zvýšení procentuální výše státního příspěvku u účastníků ve věku 0 až 29 let na 25 %. Tato procentuální výše by byla uplatňována jak u stávajících, tak nově vstoupivších účastníků do DPS v příslušném věku. Minimální výše příspěvku účastníka pro přiznání státního příspěvku by zůstala stejná jako ve variantě 0, tj. 100 Kč u nezletilých účastníků a 500 Kč u dospělých účastníků. Stejně tak by se nezměnila ani maximální výše příspěvku účastníka, nad kterou státní příspěvek dále neroste, a nadále by činila</w:t>
      </w:r>
      <w:r w:rsidR="00F006AA">
        <w:t xml:space="preserve"> </w:t>
      </w:r>
      <w:r w:rsidRPr="00A03F2C">
        <w:t xml:space="preserve">1 700 Kč u všech účastníků bez ohledu na věk. Nejnižší možná výše měsíčního státního příspěvku by se tak zvýšila u nezletilých účastníků z 20 Kč na 25 Kč a v případě účastníků ve věku 18 až 29 let ze 100 Kč na 125 Kč. Maximální výše měsíčního státního příspěvku by vzrostla z 340 Kč na 425 Kč. </w:t>
      </w:r>
    </w:p>
    <w:p w14:paraId="762C8327" w14:textId="77777777" w:rsidR="00A03F2C" w:rsidRPr="00A03F2C" w:rsidRDefault="00A03F2C" w:rsidP="00A03F2C">
      <w:pPr>
        <w:spacing w:after="120"/>
        <w:jc w:val="both"/>
        <w:rPr>
          <w:rFonts w:cs="Calibri"/>
          <w:b/>
          <w:color w:val="1F497D"/>
          <w:lang w:eastAsia="cs-CZ"/>
        </w:rPr>
      </w:pPr>
      <w:r w:rsidRPr="00A03F2C">
        <w:rPr>
          <w:rFonts w:cs="Calibri"/>
          <w:b/>
          <w:color w:val="1F497D"/>
          <w:lang w:eastAsia="cs-CZ"/>
        </w:rPr>
        <w:t>Varianta 2: Zvýšení procentuální výše státního příspěvku na 40 %</w:t>
      </w:r>
    </w:p>
    <w:p w14:paraId="24B067BB" w14:textId="77777777" w:rsidR="00A03F2C" w:rsidRPr="00A03F2C" w:rsidRDefault="00A03F2C" w:rsidP="00A03F2C">
      <w:pPr>
        <w:spacing w:after="120"/>
        <w:jc w:val="both"/>
      </w:pPr>
      <w:r w:rsidRPr="00A03F2C">
        <w:t>Varianta 2 se od varianty 1 liší pouze ve vyšším zvýšení procentuální výše státního příspěvku, a to na 40 %, tj. dvojnásobek stávající výše. Nejnižší možná výše měsíčního státního příspěvku by se zvýšila u nezletilých účastníků z 20 Kč na 40 Kč a v případě účastníků ve věku 18 až 29 let ze 100 Kč na 200 Kč. Maximální výše měsíčního státního příspěvku by vzrostla z 340 Kč na 680 Kč.</w:t>
      </w:r>
    </w:p>
    <w:p w14:paraId="1E882E74" w14:textId="77777777" w:rsidR="00A03F2C" w:rsidRPr="00A03F2C" w:rsidRDefault="00A03F2C" w:rsidP="00A03F2C">
      <w:pPr>
        <w:spacing w:before="80" w:after="120"/>
        <w:jc w:val="both"/>
        <w:rPr>
          <w:rFonts w:eastAsia="Calibri"/>
          <w:b/>
          <w:color w:val="1F497D"/>
          <w:lang w:eastAsia="cs-CZ"/>
        </w:rPr>
      </w:pPr>
      <w:r w:rsidRPr="00A03F2C">
        <w:rPr>
          <w:rFonts w:eastAsia="Calibri"/>
          <w:b/>
          <w:color w:val="1F497D"/>
          <w:lang w:eastAsia="cs-CZ"/>
        </w:rPr>
        <w:t>Identifikace a vyhodnocení nákladů a přínosů jednotlivých variant</w:t>
      </w:r>
    </w:p>
    <w:p w14:paraId="696AD07C" w14:textId="77777777" w:rsidR="00A03F2C" w:rsidRPr="00A03F2C" w:rsidRDefault="00A03F2C" w:rsidP="00A03F2C">
      <w:pPr>
        <w:spacing w:after="120"/>
        <w:jc w:val="both"/>
      </w:pPr>
      <w:r w:rsidRPr="00A03F2C">
        <w:t xml:space="preserve">Hlavním přínosem varianty 1 a varianty 2 je zatraktivnění DPS pro nové účastníky, kdy lze očekávat vyšší růst počtu účastníků ve věku 0 až 29 let, než ke kterému by docházelo za nezměněných podmínek, resp. pouze při </w:t>
      </w:r>
      <w:r w:rsidRPr="00A03F2C">
        <w:rPr>
          <w:rFonts w:eastAsia="Calibri"/>
        </w:rPr>
        <w:t>snížení minimální výše příspěvku nezletilých účastníků pro nárok na státní příspěvek na 100 Kč</w:t>
      </w:r>
      <w:r w:rsidRPr="00A03F2C">
        <w:t>. Zároveň by došlo k příslušnému zvýšení procentuální výše státního příspěvku i u stávajících účastníků.</w:t>
      </w:r>
    </w:p>
    <w:p w14:paraId="41CD15AA" w14:textId="77777777" w:rsidR="00A03F2C" w:rsidRPr="00A03F2C" w:rsidRDefault="00A03F2C" w:rsidP="00A03F2C">
      <w:pPr>
        <w:spacing w:after="120"/>
        <w:jc w:val="both"/>
      </w:pPr>
      <w:r w:rsidRPr="00A03F2C">
        <w:t>Nákladem</w:t>
      </w:r>
      <w:r w:rsidRPr="00A03F2C">
        <w:rPr>
          <w:rFonts w:eastAsia="Calibri"/>
        </w:rPr>
        <w:t xml:space="preserve"> </w:t>
      </w:r>
      <w:r w:rsidRPr="00A03F2C">
        <w:t>zvýšení procentuální výše státního příspěvku je zvýšení výdajů státního rozpočtu na státní příspěvek, které budou spojeny jak se zvýšením státního příspěvku stávajícím účastníkům, tak se vstupem předpokládaného vyššího počtu nových účastníků. Intenzita zvýšení zájmu o vstup do systému DPS a počet nových účastníků projevující se v růstu celkového počtu účastníků ve věku 0 až 29 let je obtížně predikovatelná, neboť bude záviset na ekonomické situaci jednotlivých účastníků. Z tohoto důvodu je při porovnání dopadů navýšení výdajů státního rozpočtu použita analýza citlivosti s několika zvolenými rozsahy reakce lišícími se mezičtvrtletním tempem růstu počtu účastníků v daném věku. Vzhledem k tomu, že účinnost případného zvýšení procentuální výše státního příspěvku by mohla být nejdříve od 1. 1. 2027 a státní příspěvek za dané čtvrtletí je vyplácen vždy zpětně až v průběhu následujícího čtvrtletí, dopady změny by se plně projevily až v celkové přímé podpoře vyplacené v roce 2028. Ve státní podpoře vyplacené v roce 2027 jsou zahrnuty státní příspěvky poukázané za 4. čtvrtletí 2026, v němž se předpokládá platnost současného nastavení poskytování státní podpory. Dopady na státní rozpočet jsou tedy odhadovány pro rok 2028, a to zvlášť pro věkovou kategorii účastníků od 0</w:t>
      </w:r>
      <w:r w:rsidR="000A5D66">
        <w:t> </w:t>
      </w:r>
      <w:r w:rsidRPr="00A03F2C">
        <w:t>do 17 let a pro účastníky ve věku 18 až 29 let, neboť v případě účastníků ve věku 0 až 17 let je třeba při odhadu zohlednit odhadovanou reakci na výše navrhované opatření spočívající ve snížení minimální výše příspěvku nezletilých účastníků pro nárok na státní příspěvek na 100 Kč.</w:t>
      </w:r>
    </w:p>
    <w:p w14:paraId="73C4F4D2" w14:textId="77777777" w:rsidR="00A03F2C" w:rsidRPr="00A03F2C" w:rsidRDefault="00A03F2C" w:rsidP="00C330F1">
      <w:pPr>
        <w:keepNext/>
        <w:spacing w:after="120"/>
        <w:jc w:val="both"/>
        <w:rPr>
          <w:b/>
        </w:rPr>
      </w:pPr>
      <w:r w:rsidRPr="00A03F2C">
        <w:rPr>
          <w:b/>
        </w:rPr>
        <w:lastRenderedPageBreak/>
        <w:t xml:space="preserve">Navýšení výdajů státního rozpočtu na státní příspěvek nezletilým účastníkům </w:t>
      </w:r>
    </w:p>
    <w:p w14:paraId="65F102DD" w14:textId="77777777" w:rsidR="00A03F2C" w:rsidRPr="00A03F2C" w:rsidRDefault="00A03F2C" w:rsidP="00A03F2C">
      <w:pPr>
        <w:spacing w:after="120"/>
        <w:jc w:val="both"/>
      </w:pPr>
      <w:r w:rsidRPr="00A03F2C">
        <w:t>Při porovnání dopadů navýšení výdajů státního rozpočtu v případě účastníků ve věku 0 až 17 let je použita analýza citlivosti s několika zvolenými rozsahy dodatečného navýšení mezičtvrtletního tempa růstu počtu nezletilých účastníků s evidovaným příspěvkem vůči stavu, kdy by došlo pouze ke snížení minimální výše příspěvku nezletilých účastníků pro nárok na státní příspěvek. Počet nezletilých účastníků s evidovaným příspěvkem</w:t>
      </w:r>
      <w:r w:rsidRPr="00A03F2C">
        <w:rPr>
          <w:vertAlign w:val="superscript"/>
        </w:rPr>
        <w:footnoteReference w:id="8"/>
      </w:r>
      <w:r w:rsidRPr="00A03F2C">
        <w:t xml:space="preserve"> na konci roku 2025 činil 159,7 tis.</w:t>
      </w:r>
    </w:p>
    <w:p w14:paraId="6A07CBBF" w14:textId="77777777" w:rsidR="00A03F2C" w:rsidRPr="00A03F2C" w:rsidRDefault="00A03F2C" w:rsidP="00A03F2C">
      <w:pPr>
        <w:spacing w:after="120"/>
        <w:jc w:val="both"/>
      </w:pPr>
      <w:r w:rsidRPr="00A03F2C">
        <w:t>Dodatečné navýšení mezičtvrtletního tempa růstu oproti stavu při snížení minimální výše příspěvku pro nárok na státní příspěvek jsou vyjádřena v p. b., a to konkrétně pro hodnoty 0 p. b., 1 p. b., 2 p. b., 3 p. b., 4 p. b., 5 p. b. a 6 p. b. Dopady jsou modelovány jen pro rok 2028, který představuje první rok, v němž se změna nastavení státního příspěvku plně projeví v rámci rozpočtového výdaje. Předpokládaný budoucí vývoj při snížení minimální výše příspěvku pro nárok na státní příspěvek je brán jako základní scénář s mezičtvrtletním tempem růstu počtu nezletilých účastníků ve výši 6 až 8 %</w:t>
      </w:r>
      <w:r w:rsidRPr="00A03F2C">
        <w:rPr>
          <w:vertAlign w:val="superscript"/>
        </w:rPr>
        <w:footnoteReference w:id="9"/>
      </w:r>
      <w:r w:rsidRPr="00A03F2C">
        <w:t>. V rámci základního scénáře je dále předpokládáno pokračování trendu vývoje procentních podílů jednotlivých kategorií nezletilých účastníků podle výše příspěvku započatého v roce 2025 již po změně poskytování státního příspěvku. Dále pak od začátku roku 2027 základní scénář rovněž zahrnuje změny v důsledku snížení minimální výše příspěvku pro nárok na státní příspěvek (zvýšení podílu účastníků s příspěvkem ve výši 100 Kč a 300 Kč). Změny ve variantách 1 a 2 jsou potom vždy uvažovány na pozadí tohoto základního scénáře.</w:t>
      </w:r>
    </w:p>
    <w:p w14:paraId="48205B11" w14:textId="77777777" w:rsidR="00A03F2C" w:rsidRPr="00A03F2C" w:rsidRDefault="00A03F2C" w:rsidP="00B8277D">
      <w:pPr>
        <w:keepNext/>
        <w:suppressAutoHyphens w:val="0"/>
        <w:spacing w:after="60" w:line="259" w:lineRule="auto"/>
        <w:jc w:val="both"/>
        <w:rPr>
          <w:rFonts w:eastAsia="Calibri"/>
          <w:b/>
          <w:bCs/>
          <w:color w:val="4F81BD"/>
          <w:sz w:val="20"/>
          <w:szCs w:val="18"/>
        </w:rPr>
      </w:pPr>
      <w:bookmarkStart w:id="180" w:name="_Toc230006807"/>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BA7E70">
        <w:rPr>
          <w:rFonts w:eastAsia="Calibri"/>
          <w:b/>
          <w:bCs/>
          <w:noProof/>
          <w:color w:val="4F81BD"/>
          <w:sz w:val="20"/>
          <w:szCs w:val="18"/>
        </w:rPr>
        <w:t>11</w:t>
      </w:r>
      <w:r w:rsidRPr="00A03F2C">
        <w:rPr>
          <w:rFonts w:eastAsia="Calibri"/>
          <w:b/>
          <w:bCs/>
          <w:color w:val="4F81BD"/>
          <w:sz w:val="20"/>
          <w:szCs w:val="18"/>
        </w:rPr>
        <w:fldChar w:fldCharType="end"/>
      </w:r>
      <w:r w:rsidRPr="00A03F2C">
        <w:rPr>
          <w:rFonts w:eastAsia="Calibri"/>
          <w:b/>
          <w:bCs/>
          <w:color w:val="4F81BD"/>
          <w:sz w:val="20"/>
          <w:szCs w:val="18"/>
        </w:rPr>
        <w:t>: Výdaje státního rozpočtu v roce 2028 v závislosti na dodatečném navýšení mezičtvrtletního tempa růstu počtu účastníků ve věku 0 až 17 let s evidovaným příspěvkem v letech 2027 a 2028 při různém nastavení procentuální výše státního příspěvku</w:t>
      </w:r>
      <w:bookmarkEnd w:id="180"/>
    </w:p>
    <w:tbl>
      <w:tblPr>
        <w:tblStyle w:val="Mkatabulky3"/>
        <w:tblW w:w="9072" w:type="dxa"/>
        <w:jc w:val="center"/>
        <w:tblLayout w:type="fixed"/>
        <w:tblCellMar>
          <w:left w:w="28" w:type="dxa"/>
          <w:right w:w="28" w:type="dxa"/>
        </w:tblCellMar>
        <w:tblLook w:val="04A0" w:firstRow="1" w:lastRow="0" w:firstColumn="1" w:lastColumn="0" w:noHBand="0" w:noVBand="1"/>
      </w:tblPr>
      <w:tblGrid>
        <w:gridCol w:w="1813"/>
        <w:gridCol w:w="908"/>
        <w:gridCol w:w="907"/>
        <w:gridCol w:w="907"/>
        <w:gridCol w:w="907"/>
        <w:gridCol w:w="907"/>
        <w:gridCol w:w="907"/>
        <w:gridCol w:w="907"/>
        <w:gridCol w:w="909"/>
      </w:tblGrid>
      <w:tr w:rsidR="00A03F2C" w:rsidRPr="00A03F2C" w14:paraId="78275304" w14:textId="77777777" w:rsidTr="00A03F2C">
        <w:trPr>
          <w:jc w:val="center"/>
        </w:trPr>
        <w:tc>
          <w:tcPr>
            <w:tcW w:w="2721" w:type="dxa"/>
            <w:gridSpan w:val="2"/>
            <w:vMerge w:val="restart"/>
            <w:shd w:val="clear" w:color="auto" w:fill="C6D9F1"/>
          </w:tcPr>
          <w:p w14:paraId="1C527E9C" w14:textId="77777777" w:rsidR="00A03F2C" w:rsidRPr="00A03F2C" w:rsidRDefault="00A03F2C" w:rsidP="00A03F2C">
            <w:pPr>
              <w:spacing w:before="20" w:after="20"/>
              <w:jc w:val="both"/>
            </w:pPr>
            <w:r w:rsidRPr="00A03F2C">
              <w:t>v mil. Kč</w:t>
            </w:r>
          </w:p>
        </w:tc>
        <w:tc>
          <w:tcPr>
            <w:tcW w:w="6351" w:type="dxa"/>
            <w:gridSpan w:val="7"/>
            <w:shd w:val="clear" w:color="auto" w:fill="C6D9F1"/>
          </w:tcPr>
          <w:p w14:paraId="23CFDB93" w14:textId="77777777" w:rsidR="00A03F2C" w:rsidRPr="00A03F2C" w:rsidRDefault="00A03F2C" w:rsidP="00A03F2C">
            <w:pPr>
              <w:spacing w:before="20" w:after="20"/>
              <w:jc w:val="center"/>
              <w:rPr>
                <w:b/>
              </w:rPr>
            </w:pPr>
            <w:r w:rsidRPr="00A03F2C">
              <w:rPr>
                <w:b/>
              </w:rPr>
              <w:t>Dodatečné navýšení tempa růstu počtu účastníků ve věku 0 až 17 let</w:t>
            </w:r>
          </w:p>
        </w:tc>
      </w:tr>
      <w:tr w:rsidR="00A03F2C" w:rsidRPr="00A03F2C" w14:paraId="72557189" w14:textId="77777777" w:rsidTr="00A03F2C">
        <w:trPr>
          <w:trHeight w:val="340"/>
          <w:jc w:val="center"/>
        </w:trPr>
        <w:tc>
          <w:tcPr>
            <w:tcW w:w="2721" w:type="dxa"/>
            <w:gridSpan w:val="2"/>
            <w:vMerge/>
            <w:shd w:val="clear" w:color="auto" w:fill="C6D9F1"/>
          </w:tcPr>
          <w:p w14:paraId="17A8BEA3" w14:textId="77777777" w:rsidR="00A03F2C" w:rsidRPr="00A03F2C" w:rsidRDefault="00A03F2C" w:rsidP="00A03F2C">
            <w:pPr>
              <w:spacing w:before="20" w:after="20"/>
              <w:jc w:val="both"/>
            </w:pPr>
          </w:p>
        </w:tc>
        <w:tc>
          <w:tcPr>
            <w:tcW w:w="907" w:type="dxa"/>
            <w:tcBorders>
              <w:bottom w:val="single" w:sz="4" w:space="0" w:color="auto"/>
            </w:tcBorders>
            <w:shd w:val="clear" w:color="auto" w:fill="C6D9F1"/>
          </w:tcPr>
          <w:p w14:paraId="3FA62232" w14:textId="77777777" w:rsidR="00A03F2C" w:rsidRPr="00A03F2C" w:rsidRDefault="00A03F2C" w:rsidP="00A03F2C">
            <w:pPr>
              <w:spacing w:before="20" w:after="20"/>
              <w:jc w:val="center"/>
              <w:rPr>
                <w:b/>
              </w:rPr>
            </w:pPr>
            <w:r w:rsidRPr="00A03F2C">
              <w:rPr>
                <w:b/>
              </w:rPr>
              <w:t xml:space="preserve">0 p. b. </w:t>
            </w:r>
          </w:p>
        </w:tc>
        <w:tc>
          <w:tcPr>
            <w:tcW w:w="907" w:type="dxa"/>
            <w:tcBorders>
              <w:bottom w:val="single" w:sz="4" w:space="0" w:color="auto"/>
            </w:tcBorders>
            <w:shd w:val="clear" w:color="auto" w:fill="C6D9F1"/>
            <w:vAlign w:val="center"/>
          </w:tcPr>
          <w:p w14:paraId="637AADBB" w14:textId="77777777" w:rsidR="00A03F2C" w:rsidRPr="00A03F2C" w:rsidRDefault="00A03F2C" w:rsidP="00A03F2C">
            <w:pPr>
              <w:spacing w:before="20" w:after="20"/>
              <w:jc w:val="center"/>
              <w:rPr>
                <w:b/>
              </w:rPr>
            </w:pPr>
            <w:r w:rsidRPr="00A03F2C">
              <w:rPr>
                <w:b/>
              </w:rPr>
              <w:t>1 p. b.</w:t>
            </w:r>
          </w:p>
        </w:tc>
        <w:tc>
          <w:tcPr>
            <w:tcW w:w="907" w:type="dxa"/>
            <w:tcBorders>
              <w:bottom w:val="single" w:sz="4" w:space="0" w:color="auto"/>
            </w:tcBorders>
            <w:shd w:val="clear" w:color="auto" w:fill="C6D9F1"/>
            <w:vAlign w:val="center"/>
          </w:tcPr>
          <w:p w14:paraId="7467C967" w14:textId="77777777" w:rsidR="00A03F2C" w:rsidRPr="00A03F2C" w:rsidRDefault="00A03F2C" w:rsidP="00A03F2C">
            <w:pPr>
              <w:spacing w:before="20" w:after="20"/>
              <w:jc w:val="center"/>
              <w:rPr>
                <w:b/>
              </w:rPr>
            </w:pPr>
            <w:r w:rsidRPr="00A03F2C">
              <w:rPr>
                <w:b/>
              </w:rPr>
              <w:t>2 p. b.</w:t>
            </w:r>
          </w:p>
        </w:tc>
        <w:tc>
          <w:tcPr>
            <w:tcW w:w="907" w:type="dxa"/>
            <w:tcBorders>
              <w:bottom w:val="single" w:sz="4" w:space="0" w:color="auto"/>
            </w:tcBorders>
            <w:shd w:val="clear" w:color="auto" w:fill="C6D9F1"/>
            <w:vAlign w:val="center"/>
          </w:tcPr>
          <w:p w14:paraId="4CA678E4" w14:textId="77777777" w:rsidR="00A03F2C" w:rsidRPr="00A03F2C" w:rsidRDefault="00A03F2C" w:rsidP="00A03F2C">
            <w:pPr>
              <w:spacing w:before="20" w:after="20"/>
              <w:jc w:val="center"/>
              <w:rPr>
                <w:b/>
              </w:rPr>
            </w:pPr>
            <w:r w:rsidRPr="00A03F2C">
              <w:rPr>
                <w:b/>
              </w:rPr>
              <w:t xml:space="preserve">3 p. b. </w:t>
            </w:r>
          </w:p>
        </w:tc>
        <w:tc>
          <w:tcPr>
            <w:tcW w:w="907" w:type="dxa"/>
            <w:tcBorders>
              <w:bottom w:val="single" w:sz="4" w:space="0" w:color="auto"/>
            </w:tcBorders>
            <w:shd w:val="clear" w:color="auto" w:fill="C6D9F1"/>
            <w:vAlign w:val="center"/>
          </w:tcPr>
          <w:p w14:paraId="2978A210" w14:textId="77777777" w:rsidR="00A03F2C" w:rsidRPr="00A03F2C" w:rsidRDefault="00A03F2C" w:rsidP="00A03F2C">
            <w:pPr>
              <w:spacing w:before="20" w:after="20"/>
              <w:jc w:val="center"/>
              <w:rPr>
                <w:b/>
              </w:rPr>
            </w:pPr>
            <w:r w:rsidRPr="00A03F2C">
              <w:rPr>
                <w:b/>
              </w:rPr>
              <w:t>4 p. b.</w:t>
            </w:r>
          </w:p>
        </w:tc>
        <w:tc>
          <w:tcPr>
            <w:tcW w:w="907" w:type="dxa"/>
            <w:tcBorders>
              <w:bottom w:val="single" w:sz="4" w:space="0" w:color="auto"/>
            </w:tcBorders>
            <w:shd w:val="clear" w:color="auto" w:fill="C6D9F1"/>
            <w:vAlign w:val="center"/>
          </w:tcPr>
          <w:p w14:paraId="13EE147C" w14:textId="77777777" w:rsidR="00A03F2C" w:rsidRPr="00A03F2C" w:rsidRDefault="00A03F2C" w:rsidP="00A03F2C">
            <w:pPr>
              <w:spacing w:before="20" w:after="20"/>
              <w:jc w:val="center"/>
              <w:rPr>
                <w:b/>
              </w:rPr>
            </w:pPr>
            <w:r w:rsidRPr="00A03F2C">
              <w:rPr>
                <w:b/>
              </w:rPr>
              <w:t>5 p. b.</w:t>
            </w:r>
          </w:p>
        </w:tc>
        <w:tc>
          <w:tcPr>
            <w:tcW w:w="909" w:type="dxa"/>
            <w:tcBorders>
              <w:bottom w:val="single" w:sz="4" w:space="0" w:color="auto"/>
            </w:tcBorders>
            <w:shd w:val="clear" w:color="auto" w:fill="C6D9F1"/>
          </w:tcPr>
          <w:p w14:paraId="2F949644" w14:textId="77777777" w:rsidR="00A03F2C" w:rsidRPr="00A03F2C" w:rsidRDefault="00A03F2C" w:rsidP="00A03F2C">
            <w:pPr>
              <w:spacing w:before="20" w:after="20"/>
              <w:jc w:val="center"/>
              <w:rPr>
                <w:b/>
              </w:rPr>
            </w:pPr>
            <w:r w:rsidRPr="00A03F2C">
              <w:rPr>
                <w:b/>
              </w:rPr>
              <w:t>6 p. b.</w:t>
            </w:r>
          </w:p>
        </w:tc>
      </w:tr>
      <w:tr w:rsidR="00A03F2C" w:rsidRPr="00A03F2C" w14:paraId="60AEF2FF" w14:textId="77777777" w:rsidTr="00A03F2C">
        <w:trPr>
          <w:trHeight w:val="567"/>
          <w:jc w:val="center"/>
        </w:trPr>
        <w:tc>
          <w:tcPr>
            <w:tcW w:w="1813" w:type="dxa"/>
            <w:vMerge w:val="restart"/>
            <w:shd w:val="clear" w:color="auto" w:fill="C6D9F1"/>
            <w:vAlign w:val="center"/>
          </w:tcPr>
          <w:p w14:paraId="52F195DF" w14:textId="77777777" w:rsidR="00A03F2C" w:rsidRPr="00A03F2C" w:rsidRDefault="00A03F2C" w:rsidP="00A03F2C">
            <w:pPr>
              <w:spacing w:before="20" w:after="20"/>
              <w:jc w:val="center"/>
              <w:rPr>
                <w:b/>
              </w:rPr>
            </w:pPr>
            <w:r w:rsidRPr="00A03F2C">
              <w:rPr>
                <w:b/>
              </w:rPr>
              <w:t>Procentuální výše státního příspěvku</w:t>
            </w:r>
          </w:p>
        </w:tc>
        <w:tc>
          <w:tcPr>
            <w:tcW w:w="907" w:type="dxa"/>
            <w:shd w:val="clear" w:color="auto" w:fill="C6D9F1"/>
            <w:vAlign w:val="center"/>
          </w:tcPr>
          <w:p w14:paraId="190F64A8" w14:textId="77777777" w:rsidR="00A03F2C" w:rsidRPr="00A03F2C" w:rsidRDefault="00A03F2C" w:rsidP="00A03F2C">
            <w:pPr>
              <w:spacing w:before="20" w:after="20"/>
              <w:jc w:val="center"/>
              <w:rPr>
                <w:b/>
              </w:rPr>
            </w:pPr>
            <w:r w:rsidRPr="00A03F2C">
              <w:rPr>
                <w:b/>
              </w:rPr>
              <w:t>20 %</w:t>
            </w:r>
          </w:p>
        </w:tc>
        <w:tc>
          <w:tcPr>
            <w:tcW w:w="907" w:type="dxa"/>
            <w:tcBorders>
              <w:top w:val="single" w:sz="4" w:space="0" w:color="auto"/>
              <w:left w:val="nil"/>
              <w:bottom w:val="single" w:sz="4" w:space="0" w:color="auto"/>
              <w:right w:val="single" w:sz="4" w:space="0" w:color="auto"/>
            </w:tcBorders>
            <w:shd w:val="clear" w:color="auto" w:fill="auto"/>
            <w:vAlign w:val="center"/>
          </w:tcPr>
          <w:p w14:paraId="7E952FE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309,4</w:t>
            </w:r>
          </w:p>
          <w:p w14:paraId="3C5CD8C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321,4</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585B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326,0</w:t>
            </w:r>
          </w:p>
          <w:p w14:paraId="761695A3"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338,3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7933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343,3</w:t>
            </w:r>
          </w:p>
          <w:p w14:paraId="1557685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356,0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4AB6C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361,4</w:t>
            </w:r>
          </w:p>
          <w:p w14:paraId="2E52128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374,5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EC8E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380,4</w:t>
            </w:r>
          </w:p>
          <w:p w14:paraId="6F8CF371"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393,7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642D7D"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400,2</w:t>
            </w:r>
          </w:p>
          <w:p w14:paraId="5731DC91"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413,9</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2EE77D7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420,8</w:t>
            </w:r>
          </w:p>
          <w:p w14:paraId="01C43EEE"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434,9</w:t>
            </w:r>
          </w:p>
        </w:tc>
      </w:tr>
      <w:tr w:rsidR="00A03F2C" w:rsidRPr="00A03F2C" w14:paraId="4A13FC1B" w14:textId="77777777" w:rsidTr="00A03F2C">
        <w:trPr>
          <w:jc w:val="center"/>
        </w:trPr>
        <w:tc>
          <w:tcPr>
            <w:tcW w:w="1813" w:type="dxa"/>
            <w:vMerge/>
            <w:shd w:val="clear" w:color="auto" w:fill="C6D9F1"/>
          </w:tcPr>
          <w:p w14:paraId="32AD05DE" w14:textId="77777777" w:rsidR="00A03F2C" w:rsidRPr="00A03F2C" w:rsidRDefault="00A03F2C" w:rsidP="00A03F2C">
            <w:pPr>
              <w:spacing w:before="20" w:after="20"/>
              <w:jc w:val="both"/>
            </w:pPr>
          </w:p>
        </w:tc>
        <w:tc>
          <w:tcPr>
            <w:tcW w:w="908" w:type="dxa"/>
            <w:shd w:val="clear" w:color="auto" w:fill="C6D9F1"/>
            <w:vAlign w:val="center"/>
          </w:tcPr>
          <w:p w14:paraId="32C6EF57" w14:textId="77777777" w:rsidR="00A03F2C" w:rsidRPr="00A03F2C" w:rsidRDefault="00A03F2C" w:rsidP="00A03F2C">
            <w:pPr>
              <w:spacing w:before="20" w:after="20"/>
              <w:jc w:val="center"/>
              <w:rPr>
                <w:b/>
              </w:rPr>
            </w:pPr>
            <w:r w:rsidRPr="00A03F2C">
              <w:rPr>
                <w:b/>
              </w:rPr>
              <w:t>25 %</w:t>
            </w:r>
          </w:p>
        </w:tc>
        <w:tc>
          <w:tcPr>
            <w:tcW w:w="907" w:type="dxa"/>
            <w:tcBorders>
              <w:top w:val="single" w:sz="4" w:space="0" w:color="auto"/>
              <w:left w:val="nil"/>
              <w:bottom w:val="single" w:sz="4" w:space="0" w:color="auto"/>
              <w:right w:val="single" w:sz="4" w:space="0" w:color="auto"/>
            </w:tcBorders>
            <w:shd w:val="clear" w:color="auto" w:fill="auto"/>
            <w:vAlign w:val="center"/>
          </w:tcPr>
          <w:p w14:paraId="14D8A05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386,8</w:t>
            </w:r>
          </w:p>
          <w:p w14:paraId="558C0B3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401,7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97F0A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407,5</w:t>
            </w:r>
          </w:p>
          <w:p w14:paraId="77F7700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422,9</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90F1FD"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429,2</w:t>
            </w:r>
          </w:p>
          <w:p w14:paraId="55A05B17"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445,0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D35594"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451,8</w:t>
            </w:r>
          </w:p>
          <w:p w14:paraId="5D86C889"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468,1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C80B5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475,5</w:t>
            </w:r>
          </w:p>
          <w:p w14:paraId="1367945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492,2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B3C7D9"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500,2</w:t>
            </w:r>
          </w:p>
          <w:p w14:paraId="1706805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517,4</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6F75448B"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526,0</w:t>
            </w:r>
          </w:p>
          <w:p w14:paraId="00D36D47"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543,6</w:t>
            </w:r>
          </w:p>
        </w:tc>
      </w:tr>
      <w:tr w:rsidR="00A03F2C" w:rsidRPr="00A03F2C" w14:paraId="022964DA" w14:textId="77777777" w:rsidTr="00A03F2C">
        <w:trPr>
          <w:jc w:val="center"/>
        </w:trPr>
        <w:tc>
          <w:tcPr>
            <w:tcW w:w="1813" w:type="dxa"/>
            <w:vMerge/>
            <w:shd w:val="clear" w:color="auto" w:fill="C6D9F1"/>
          </w:tcPr>
          <w:p w14:paraId="7BBB844D" w14:textId="77777777" w:rsidR="00A03F2C" w:rsidRPr="00A03F2C" w:rsidRDefault="00A03F2C" w:rsidP="00A03F2C">
            <w:pPr>
              <w:spacing w:before="20" w:after="20"/>
              <w:jc w:val="both"/>
            </w:pPr>
          </w:p>
        </w:tc>
        <w:tc>
          <w:tcPr>
            <w:tcW w:w="908" w:type="dxa"/>
            <w:shd w:val="clear" w:color="auto" w:fill="C6D9F1"/>
            <w:vAlign w:val="center"/>
          </w:tcPr>
          <w:p w14:paraId="63CF8A3D" w14:textId="77777777" w:rsidR="00A03F2C" w:rsidRPr="00A03F2C" w:rsidRDefault="00A03F2C" w:rsidP="00A03F2C">
            <w:pPr>
              <w:spacing w:before="20" w:after="20"/>
              <w:jc w:val="center"/>
              <w:rPr>
                <w:b/>
              </w:rPr>
            </w:pPr>
            <w:r w:rsidRPr="00A03F2C">
              <w:rPr>
                <w:b/>
              </w:rPr>
              <w:t>30 %</w:t>
            </w:r>
          </w:p>
        </w:tc>
        <w:tc>
          <w:tcPr>
            <w:tcW w:w="907" w:type="dxa"/>
            <w:tcBorders>
              <w:top w:val="single" w:sz="4" w:space="0" w:color="auto"/>
              <w:left w:val="nil"/>
              <w:bottom w:val="single" w:sz="4" w:space="0" w:color="auto"/>
              <w:right w:val="single" w:sz="4" w:space="0" w:color="auto"/>
            </w:tcBorders>
            <w:shd w:val="clear" w:color="auto" w:fill="auto"/>
            <w:vAlign w:val="center"/>
          </w:tcPr>
          <w:p w14:paraId="2BF72133"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464,1</w:t>
            </w:r>
          </w:p>
          <w:p w14:paraId="42C16F9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482,1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34B21"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489,0</w:t>
            </w:r>
          </w:p>
          <w:p w14:paraId="57C5DED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507,5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02E49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515,0</w:t>
            </w:r>
          </w:p>
          <w:p w14:paraId="5308C38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534,0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12AB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542,2</w:t>
            </w:r>
          </w:p>
          <w:p w14:paraId="69109C2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561,7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444131"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570,6</w:t>
            </w:r>
          </w:p>
          <w:p w14:paraId="7E85BC47"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590,6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94FAE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600,2</w:t>
            </w:r>
          </w:p>
          <w:p w14:paraId="4D6B888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620,8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1608313"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631,2</w:t>
            </w:r>
          </w:p>
          <w:p w14:paraId="5E912AF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652,3</w:t>
            </w:r>
          </w:p>
        </w:tc>
      </w:tr>
      <w:tr w:rsidR="00A03F2C" w:rsidRPr="00A03F2C" w14:paraId="303F533C" w14:textId="77777777" w:rsidTr="00A03F2C">
        <w:trPr>
          <w:jc w:val="center"/>
        </w:trPr>
        <w:tc>
          <w:tcPr>
            <w:tcW w:w="1813" w:type="dxa"/>
            <w:vMerge/>
            <w:shd w:val="clear" w:color="auto" w:fill="C6D9F1"/>
          </w:tcPr>
          <w:p w14:paraId="090EB7FF" w14:textId="77777777" w:rsidR="00A03F2C" w:rsidRPr="00A03F2C" w:rsidRDefault="00A03F2C" w:rsidP="00A03F2C">
            <w:pPr>
              <w:spacing w:before="20" w:after="20"/>
              <w:jc w:val="both"/>
            </w:pPr>
          </w:p>
        </w:tc>
        <w:tc>
          <w:tcPr>
            <w:tcW w:w="908" w:type="dxa"/>
            <w:shd w:val="clear" w:color="auto" w:fill="C6D9F1"/>
            <w:vAlign w:val="center"/>
          </w:tcPr>
          <w:p w14:paraId="14B558FB" w14:textId="77777777" w:rsidR="00A03F2C" w:rsidRPr="00A03F2C" w:rsidRDefault="00A03F2C" w:rsidP="00A03F2C">
            <w:pPr>
              <w:spacing w:before="20" w:after="20"/>
              <w:jc w:val="center"/>
              <w:rPr>
                <w:b/>
              </w:rPr>
            </w:pPr>
            <w:r w:rsidRPr="00A03F2C">
              <w:rPr>
                <w:b/>
              </w:rPr>
              <w:t>35 %</w:t>
            </w:r>
          </w:p>
        </w:tc>
        <w:tc>
          <w:tcPr>
            <w:tcW w:w="907" w:type="dxa"/>
            <w:tcBorders>
              <w:top w:val="single" w:sz="4" w:space="0" w:color="auto"/>
              <w:left w:val="nil"/>
              <w:bottom w:val="single" w:sz="4" w:space="0" w:color="auto"/>
              <w:right w:val="single" w:sz="4" w:space="0" w:color="auto"/>
            </w:tcBorders>
            <w:shd w:val="clear" w:color="auto" w:fill="auto"/>
            <w:vAlign w:val="center"/>
          </w:tcPr>
          <w:p w14:paraId="0C23472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541,5</w:t>
            </w:r>
          </w:p>
          <w:p w14:paraId="406D73AE"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562,4</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BA78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570,5</w:t>
            </w:r>
          </w:p>
          <w:p w14:paraId="6E55AE04"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592,1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01CB75"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600,8</w:t>
            </w:r>
          </w:p>
          <w:p w14:paraId="27E7390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623,0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355C5"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632,5</w:t>
            </w:r>
          </w:p>
          <w:p w14:paraId="057E686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655,3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78A277"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665,7</w:t>
            </w:r>
          </w:p>
          <w:p w14:paraId="77FDA803"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689,1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373C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700,3</w:t>
            </w:r>
          </w:p>
          <w:p w14:paraId="401E4AED"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724,3</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652D3C9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736,4</w:t>
            </w:r>
          </w:p>
          <w:p w14:paraId="137951A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761,1</w:t>
            </w:r>
          </w:p>
        </w:tc>
      </w:tr>
      <w:tr w:rsidR="00A03F2C" w:rsidRPr="00A03F2C" w14:paraId="33C1AA33" w14:textId="77777777" w:rsidTr="00A03F2C">
        <w:trPr>
          <w:jc w:val="center"/>
        </w:trPr>
        <w:tc>
          <w:tcPr>
            <w:tcW w:w="1813" w:type="dxa"/>
            <w:vMerge/>
            <w:shd w:val="clear" w:color="auto" w:fill="C6D9F1"/>
          </w:tcPr>
          <w:p w14:paraId="0868E22B" w14:textId="77777777" w:rsidR="00A03F2C" w:rsidRPr="00A03F2C" w:rsidRDefault="00A03F2C" w:rsidP="00A03F2C">
            <w:pPr>
              <w:spacing w:before="20" w:after="20"/>
              <w:jc w:val="both"/>
            </w:pPr>
          </w:p>
        </w:tc>
        <w:tc>
          <w:tcPr>
            <w:tcW w:w="908" w:type="dxa"/>
            <w:shd w:val="clear" w:color="auto" w:fill="C6D9F1"/>
            <w:vAlign w:val="center"/>
          </w:tcPr>
          <w:p w14:paraId="3AB93608" w14:textId="77777777" w:rsidR="00A03F2C" w:rsidRPr="00A03F2C" w:rsidRDefault="00A03F2C" w:rsidP="00A03F2C">
            <w:pPr>
              <w:spacing w:before="20" w:after="20"/>
              <w:jc w:val="center"/>
              <w:rPr>
                <w:b/>
              </w:rPr>
            </w:pPr>
            <w:r w:rsidRPr="00A03F2C">
              <w:rPr>
                <w:b/>
              </w:rPr>
              <w:t>40 %</w:t>
            </w:r>
          </w:p>
        </w:tc>
        <w:tc>
          <w:tcPr>
            <w:tcW w:w="907" w:type="dxa"/>
            <w:tcBorders>
              <w:top w:val="single" w:sz="4" w:space="0" w:color="auto"/>
              <w:left w:val="nil"/>
              <w:bottom w:val="single" w:sz="4" w:space="0" w:color="auto"/>
              <w:right w:val="single" w:sz="4" w:space="0" w:color="auto"/>
            </w:tcBorders>
            <w:shd w:val="clear" w:color="auto" w:fill="auto"/>
            <w:vAlign w:val="center"/>
          </w:tcPr>
          <w:p w14:paraId="6E5AA36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618,8</w:t>
            </w:r>
          </w:p>
          <w:p w14:paraId="263B7FB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642,8</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A0168E"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652,0</w:t>
            </w:r>
          </w:p>
          <w:p w14:paraId="3F8E157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676,6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A1B78"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686,6</w:t>
            </w:r>
          </w:p>
          <w:p w14:paraId="725CAEF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712,0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B255C2"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722,9</w:t>
            </w:r>
          </w:p>
          <w:p w14:paraId="1C90EDB0"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748,9</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FB363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760,8</w:t>
            </w:r>
          </w:p>
          <w:p w14:paraId="065C3F3E"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787,5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2DDDB"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800,3</w:t>
            </w:r>
          </w:p>
          <w:p w14:paraId="4F35D41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827,8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5F16D677"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841,6</w:t>
            </w:r>
          </w:p>
          <w:p w14:paraId="0A2E781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869,8</w:t>
            </w:r>
          </w:p>
        </w:tc>
      </w:tr>
    </w:tbl>
    <w:p w14:paraId="27AB47F0" w14:textId="77777777" w:rsidR="00A03F2C" w:rsidRPr="00A03F2C" w:rsidRDefault="00A03F2C" w:rsidP="00A03F2C">
      <w:pPr>
        <w:spacing w:after="0" w:line="259" w:lineRule="auto"/>
        <w:jc w:val="both"/>
        <w:rPr>
          <w:sz w:val="18"/>
          <w:szCs w:val="20"/>
        </w:rPr>
      </w:pPr>
      <w:r w:rsidRPr="00A03F2C">
        <w:rPr>
          <w:sz w:val="18"/>
          <w:szCs w:val="20"/>
        </w:rPr>
        <w:t>Pozn.: První údaj v rámci buňky představuje výdaj na státní rozpočet za předpokladu 6% mezičtvrtletního tempa růstu počtu nezletilých účastníků v důsledku snížení minimální výše příspěvku pro nárok na státní příspěvek. Druhý údaj pak vyjadřuje výdaj na státní rozpočet za předpokladu 8% mezičtvrtletního tempa růstu počtu nezletilých účastníků v důsledku snížení minimální výše příspěvku pro nárok na státní příspěvek.</w:t>
      </w:r>
    </w:p>
    <w:p w14:paraId="70F37AC1" w14:textId="77777777" w:rsidR="00A03F2C" w:rsidRPr="009D2306" w:rsidRDefault="00A03F2C" w:rsidP="00A03F2C">
      <w:pPr>
        <w:spacing w:before="240" w:after="120"/>
        <w:jc w:val="both"/>
        <w:rPr>
          <w:rFonts w:eastAsia="Calibri"/>
        </w:rPr>
      </w:pPr>
      <w:r w:rsidRPr="00A03F2C">
        <w:rPr>
          <w:rFonts w:eastAsia="Calibri"/>
        </w:rPr>
        <w:t xml:space="preserve">Výdaj státního rozpočtu při předpokládaném budoucím vývoji zohledňujícím pouze snížení minimální výše příspěvku pro nárok na státní příspěvek je odhadován v roce 2028 na 309,4 až 321,4 mil. Kč (viz </w:t>
      </w:r>
      <w:r w:rsidRPr="009D2306">
        <w:rPr>
          <w:rFonts w:eastAsia="Calibri"/>
        </w:rPr>
        <w:lastRenderedPageBreak/>
        <w:t xml:space="preserve">tabulka </w:t>
      </w:r>
      <w:r w:rsidR="00BA7E70" w:rsidRPr="009D2306">
        <w:rPr>
          <w:rFonts w:eastAsia="Calibri"/>
        </w:rPr>
        <w:t>8</w:t>
      </w:r>
      <w:r w:rsidRPr="009D2306">
        <w:rPr>
          <w:rFonts w:eastAsia="Calibri"/>
        </w:rPr>
        <w:t xml:space="preserve"> v části Snížení podmínky nároku na státní příspěvek spočívající v minimální výši příspěvku účastníka u nezletilých účastníků). Ve variantách 1 a 2 výdaj státního rozpočtu při nulovém navýšení mezičtvrtletního tempa růstu počtu účastníků ve věku 0 až 17 let s evidovaným příspěvkem představuje výdaj státního rozpočtu zohledňující pouze nárůst výdajů spojený se zvýšením procentuální výše státního příspěvku při předpokládaném vývoji počtu účastníků dle základního scénáře. Oproti tomuto základními scénáři by se tak v případě nulové reakce případných nových účastníků na poskytování procentuálně vyššího státního příspěvku výdaj státního rozpočtu zvýšil ve variantě 1 o 77,4 až 80,3 mil. Kč </w:t>
      </w:r>
      <w:r w:rsidR="006C46DE" w:rsidRPr="009D2306">
        <w:rPr>
          <w:rFonts w:eastAsia="Calibri"/>
        </w:rPr>
        <w:t>(tj. 3</w:t>
      </w:r>
      <w:r w:rsidR="00C330F1" w:rsidRPr="009D2306">
        <w:rPr>
          <w:rFonts w:eastAsia="Calibri"/>
        </w:rPr>
        <w:t>8</w:t>
      </w:r>
      <w:r w:rsidR="006C46DE" w:rsidRPr="009D2306">
        <w:rPr>
          <w:rFonts w:eastAsia="Calibri"/>
        </w:rPr>
        <w:t>6</w:t>
      </w:r>
      <w:r w:rsidR="00C330F1" w:rsidRPr="009D2306">
        <w:rPr>
          <w:rFonts w:eastAsia="Calibri"/>
        </w:rPr>
        <w:t>,8</w:t>
      </w:r>
      <w:r w:rsidR="001A3925" w:rsidRPr="009D2306">
        <w:rPr>
          <w:rFonts w:eastAsia="Calibri"/>
        </w:rPr>
        <w:t xml:space="preserve"> -</w:t>
      </w:r>
      <w:r w:rsidR="00C330F1" w:rsidRPr="009D2306">
        <w:rPr>
          <w:rFonts w:eastAsia="Calibri"/>
        </w:rPr>
        <w:t xml:space="preserve"> 309,4 mil. Kč, resp. 401,7 </w:t>
      </w:r>
      <w:r w:rsidR="001A3925" w:rsidRPr="009D2306">
        <w:rPr>
          <w:rFonts w:eastAsia="Calibri"/>
        </w:rPr>
        <w:t>-</w:t>
      </w:r>
      <w:r w:rsidR="00C330F1" w:rsidRPr="009D2306">
        <w:rPr>
          <w:rFonts w:eastAsia="Calibri"/>
        </w:rPr>
        <w:t xml:space="preserve"> 321,4 mil. Kč) a ve variantě 2 o </w:t>
      </w:r>
      <w:r w:rsidRPr="009D2306">
        <w:rPr>
          <w:rFonts w:eastAsia="Calibri"/>
        </w:rPr>
        <w:t>309,4 až 321,4 m</w:t>
      </w:r>
      <w:r w:rsidR="00C330F1" w:rsidRPr="009D2306">
        <w:rPr>
          <w:rFonts w:eastAsia="Calibri"/>
        </w:rPr>
        <w:t>il. Kč (tj. 618,8</w:t>
      </w:r>
      <w:r w:rsidR="001A3925" w:rsidRPr="009D2306">
        <w:rPr>
          <w:rFonts w:eastAsia="Calibri"/>
        </w:rPr>
        <w:t xml:space="preserve"> -</w:t>
      </w:r>
      <w:r w:rsidR="00C330F1" w:rsidRPr="009D2306">
        <w:rPr>
          <w:rFonts w:eastAsia="Calibri"/>
        </w:rPr>
        <w:t xml:space="preserve"> 309,4 mil. Kč, resp. 642,8 </w:t>
      </w:r>
      <w:r w:rsidR="001A3925" w:rsidRPr="009D2306">
        <w:rPr>
          <w:rFonts w:eastAsia="Calibri"/>
        </w:rPr>
        <w:t>-</w:t>
      </w:r>
      <w:r w:rsidR="00C330F1" w:rsidRPr="009D2306">
        <w:rPr>
          <w:rFonts w:eastAsia="Calibri"/>
        </w:rPr>
        <w:t xml:space="preserve"> 321,4 mil. Kč).</w:t>
      </w:r>
    </w:p>
    <w:p w14:paraId="47B943A3" w14:textId="77777777" w:rsidR="00A03F2C" w:rsidRPr="00A03F2C" w:rsidRDefault="00A03F2C" w:rsidP="00A03F2C">
      <w:pPr>
        <w:spacing w:after="120"/>
        <w:jc w:val="both"/>
        <w:rPr>
          <w:rFonts w:eastAsia="Calibri"/>
        </w:rPr>
      </w:pPr>
      <w:r w:rsidRPr="009D2306">
        <w:rPr>
          <w:rFonts w:eastAsia="Calibri"/>
        </w:rPr>
        <w:t xml:space="preserve">Jednotlivé hodnoty navýšení tempa růstu počtu účastníků ve věku 0 až 17 let s evidovaným příspěvkem v letech 2027 a 2028 vykazují různé výše penetrace DPS na konci roku 2028 (viz tabulka </w:t>
      </w:r>
      <w:r w:rsidR="00BA7E70" w:rsidRPr="009D2306">
        <w:rPr>
          <w:rFonts w:eastAsia="Calibri"/>
        </w:rPr>
        <w:t>12</w:t>
      </w:r>
      <w:r w:rsidRPr="009D2306">
        <w:rPr>
          <w:rFonts w:eastAsia="Calibri"/>
        </w:rPr>
        <w:t>),</w:t>
      </w:r>
      <w:r w:rsidRPr="00A03F2C">
        <w:rPr>
          <w:rFonts w:eastAsia="Calibri"/>
        </w:rPr>
        <w:t xml:space="preserve"> kdy příslušná výše penetrace byla odhadnuta na základě projekce obyvatelstva ČR zpracované ČSÚ</w:t>
      </w:r>
      <w:r w:rsidRPr="00A03F2C">
        <w:rPr>
          <w:rFonts w:eastAsia="Calibri"/>
          <w:vertAlign w:val="superscript"/>
        </w:rPr>
        <w:footnoteReference w:id="10"/>
      </w:r>
      <w:r w:rsidRPr="00A03F2C">
        <w:rPr>
          <w:rFonts w:eastAsia="Calibri"/>
        </w:rPr>
        <w:t>.</w:t>
      </w:r>
    </w:p>
    <w:p w14:paraId="29649211" w14:textId="77777777" w:rsidR="00A03F2C" w:rsidRPr="00A03F2C" w:rsidRDefault="00A03F2C" w:rsidP="00B8277D">
      <w:pPr>
        <w:keepNext/>
        <w:suppressAutoHyphens w:val="0"/>
        <w:spacing w:after="120" w:line="259" w:lineRule="auto"/>
        <w:rPr>
          <w:rFonts w:eastAsia="Calibri"/>
          <w:b/>
          <w:bCs/>
          <w:color w:val="4F81BD"/>
          <w:sz w:val="20"/>
          <w:szCs w:val="18"/>
        </w:rPr>
      </w:pPr>
      <w:bookmarkStart w:id="181" w:name="_Toc230006808"/>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12</w:t>
      </w:r>
      <w:r w:rsidRPr="00A03F2C">
        <w:rPr>
          <w:rFonts w:eastAsia="Calibri"/>
          <w:b/>
          <w:bCs/>
          <w:color w:val="4F81BD"/>
          <w:sz w:val="20"/>
          <w:szCs w:val="18"/>
        </w:rPr>
        <w:fldChar w:fldCharType="end"/>
      </w:r>
      <w:r w:rsidRPr="00A03F2C">
        <w:rPr>
          <w:rFonts w:eastAsia="Calibri"/>
          <w:b/>
          <w:bCs/>
          <w:color w:val="4F81BD"/>
          <w:sz w:val="20"/>
          <w:szCs w:val="18"/>
        </w:rPr>
        <w:t>: Počet účastníků a penetrace DPS na konci roku 2028 dle dodatečného navýšení mezičtvrtletního tempa růstu počtu účastníků ve věku 0 až 17 let s evidovaným příspěvkem v letech 2027 a 2028</w:t>
      </w:r>
      <w:bookmarkEnd w:id="181"/>
    </w:p>
    <w:tbl>
      <w:tblPr>
        <w:tblStyle w:val="Mkatabulky3"/>
        <w:tblW w:w="9072" w:type="dxa"/>
        <w:jc w:val="center"/>
        <w:tblLayout w:type="fixed"/>
        <w:tblLook w:val="04A0" w:firstRow="1" w:lastRow="0" w:firstColumn="1" w:lastColumn="0" w:noHBand="0" w:noVBand="1"/>
      </w:tblPr>
      <w:tblGrid>
        <w:gridCol w:w="2324"/>
        <w:gridCol w:w="964"/>
        <w:gridCol w:w="964"/>
        <w:gridCol w:w="964"/>
        <w:gridCol w:w="964"/>
        <w:gridCol w:w="964"/>
        <w:gridCol w:w="964"/>
        <w:gridCol w:w="964"/>
      </w:tblGrid>
      <w:tr w:rsidR="00A03F2C" w:rsidRPr="00A03F2C" w14:paraId="1E77216F" w14:textId="77777777" w:rsidTr="00A03F2C">
        <w:trPr>
          <w:jc w:val="center"/>
        </w:trPr>
        <w:tc>
          <w:tcPr>
            <w:tcW w:w="2324" w:type="dxa"/>
            <w:vMerge w:val="restart"/>
            <w:shd w:val="clear" w:color="auto" w:fill="C6D9F1"/>
          </w:tcPr>
          <w:p w14:paraId="12446574" w14:textId="77777777" w:rsidR="00A03F2C" w:rsidRPr="00A03F2C" w:rsidRDefault="00A03F2C" w:rsidP="00A03F2C">
            <w:pPr>
              <w:spacing w:before="20" w:after="20"/>
              <w:jc w:val="both"/>
            </w:pPr>
          </w:p>
        </w:tc>
        <w:tc>
          <w:tcPr>
            <w:tcW w:w="6748" w:type="dxa"/>
            <w:gridSpan w:val="7"/>
            <w:shd w:val="clear" w:color="auto" w:fill="C6D9F1"/>
          </w:tcPr>
          <w:p w14:paraId="64F4CD5C" w14:textId="77777777" w:rsidR="00A03F2C" w:rsidRPr="00A03F2C" w:rsidRDefault="00A03F2C" w:rsidP="00A03F2C">
            <w:pPr>
              <w:spacing w:before="20" w:after="20"/>
              <w:jc w:val="center"/>
              <w:rPr>
                <w:b/>
              </w:rPr>
            </w:pPr>
            <w:r w:rsidRPr="00A03F2C">
              <w:rPr>
                <w:b/>
              </w:rPr>
              <w:t>Dodatečné navýšení tempa růstu počtu účastníků ve věku 0 až 17 let</w:t>
            </w:r>
          </w:p>
        </w:tc>
      </w:tr>
      <w:tr w:rsidR="00A03F2C" w:rsidRPr="00A03F2C" w14:paraId="456E0632" w14:textId="77777777" w:rsidTr="00A03F2C">
        <w:trPr>
          <w:jc w:val="center"/>
        </w:trPr>
        <w:tc>
          <w:tcPr>
            <w:tcW w:w="2324" w:type="dxa"/>
            <w:vMerge/>
            <w:shd w:val="clear" w:color="auto" w:fill="C6D9F1"/>
          </w:tcPr>
          <w:p w14:paraId="5B4A5F16" w14:textId="77777777" w:rsidR="00A03F2C" w:rsidRPr="00A03F2C" w:rsidRDefault="00A03F2C" w:rsidP="00A03F2C">
            <w:pPr>
              <w:spacing w:before="20" w:after="20"/>
              <w:jc w:val="both"/>
            </w:pPr>
          </w:p>
        </w:tc>
        <w:tc>
          <w:tcPr>
            <w:tcW w:w="964" w:type="dxa"/>
            <w:tcBorders>
              <w:bottom w:val="single" w:sz="4" w:space="0" w:color="auto"/>
            </w:tcBorders>
            <w:shd w:val="clear" w:color="auto" w:fill="C6D9F1"/>
          </w:tcPr>
          <w:p w14:paraId="4F2EBEEF" w14:textId="77777777" w:rsidR="00A03F2C" w:rsidRPr="00A03F2C" w:rsidRDefault="00A03F2C" w:rsidP="00A03F2C">
            <w:pPr>
              <w:spacing w:before="20" w:after="20"/>
              <w:jc w:val="center"/>
              <w:rPr>
                <w:b/>
              </w:rPr>
            </w:pPr>
            <w:r w:rsidRPr="00A03F2C">
              <w:rPr>
                <w:b/>
              </w:rPr>
              <w:t>0 p. b.</w:t>
            </w:r>
          </w:p>
        </w:tc>
        <w:tc>
          <w:tcPr>
            <w:tcW w:w="964" w:type="dxa"/>
            <w:tcBorders>
              <w:bottom w:val="single" w:sz="4" w:space="0" w:color="auto"/>
            </w:tcBorders>
            <w:shd w:val="clear" w:color="auto" w:fill="C6D9F1"/>
            <w:vAlign w:val="center"/>
          </w:tcPr>
          <w:p w14:paraId="4F5FBEE6" w14:textId="77777777" w:rsidR="00A03F2C" w:rsidRPr="00A03F2C" w:rsidRDefault="00A03F2C" w:rsidP="00A03F2C">
            <w:pPr>
              <w:spacing w:before="20" w:after="20"/>
              <w:jc w:val="center"/>
              <w:rPr>
                <w:b/>
              </w:rPr>
            </w:pPr>
            <w:r w:rsidRPr="00A03F2C">
              <w:rPr>
                <w:b/>
              </w:rPr>
              <w:t>1 p. b.</w:t>
            </w:r>
          </w:p>
        </w:tc>
        <w:tc>
          <w:tcPr>
            <w:tcW w:w="964" w:type="dxa"/>
            <w:tcBorders>
              <w:bottom w:val="single" w:sz="4" w:space="0" w:color="auto"/>
            </w:tcBorders>
            <w:shd w:val="clear" w:color="auto" w:fill="C6D9F1"/>
            <w:vAlign w:val="center"/>
          </w:tcPr>
          <w:p w14:paraId="272B62DC" w14:textId="77777777" w:rsidR="00A03F2C" w:rsidRPr="00A03F2C" w:rsidRDefault="00A03F2C" w:rsidP="00A03F2C">
            <w:pPr>
              <w:spacing w:before="20" w:after="20"/>
              <w:jc w:val="center"/>
              <w:rPr>
                <w:b/>
              </w:rPr>
            </w:pPr>
            <w:r w:rsidRPr="00A03F2C">
              <w:rPr>
                <w:b/>
              </w:rPr>
              <w:t>2 p. b.</w:t>
            </w:r>
          </w:p>
        </w:tc>
        <w:tc>
          <w:tcPr>
            <w:tcW w:w="964" w:type="dxa"/>
            <w:tcBorders>
              <w:bottom w:val="single" w:sz="4" w:space="0" w:color="auto"/>
            </w:tcBorders>
            <w:shd w:val="clear" w:color="auto" w:fill="C6D9F1"/>
            <w:vAlign w:val="center"/>
          </w:tcPr>
          <w:p w14:paraId="467C5B94" w14:textId="77777777" w:rsidR="00A03F2C" w:rsidRPr="00A03F2C" w:rsidRDefault="00A03F2C" w:rsidP="00A03F2C">
            <w:pPr>
              <w:spacing w:before="20" w:after="20"/>
              <w:jc w:val="center"/>
              <w:rPr>
                <w:b/>
              </w:rPr>
            </w:pPr>
            <w:r w:rsidRPr="00A03F2C">
              <w:rPr>
                <w:b/>
              </w:rPr>
              <w:t xml:space="preserve">3 p. b. </w:t>
            </w:r>
          </w:p>
        </w:tc>
        <w:tc>
          <w:tcPr>
            <w:tcW w:w="964" w:type="dxa"/>
            <w:tcBorders>
              <w:bottom w:val="single" w:sz="4" w:space="0" w:color="auto"/>
            </w:tcBorders>
            <w:shd w:val="clear" w:color="auto" w:fill="C6D9F1"/>
            <w:vAlign w:val="center"/>
          </w:tcPr>
          <w:p w14:paraId="2BD20573" w14:textId="77777777" w:rsidR="00A03F2C" w:rsidRPr="00A03F2C" w:rsidRDefault="00A03F2C" w:rsidP="00A03F2C">
            <w:pPr>
              <w:spacing w:before="20" w:after="20"/>
              <w:jc w:val="center"/>
              <w:rPr>
                <w:b/>
              </w:rPr>
            </w:pPr>
            <w:r w:rsidRPr="00A03F2C">
              <w:rPr>
                <w:b/>
              </w:rPr>
              <w:t>4 p. b.</w:t>
            </w:r>
          </w:p>
        </w:tc>
        <w:tc>
          <w:tcPr>
            <w:tcW w:w="964" w:type="dxa"/>
            <w:tcBorders>
              <w:bottom w:val="single" w:sz="4" w:space="0" w:color="auto"/>
            </w:tcBorders>
            <w:shd w:val="clear" w:color="auto" w:fill="C6D9F1"/>
            <w:vAlign w:val="center"/>
          </w:tcPr>
          <w:p w14:paraId="3327C799" w14:textId="77777777" w:rsidR="00A03F2C" w:rsidRPr="00A03F2C" w:rsidRDefault="00A03F2C" w:rsidP="00A03F2C">
            <w:pPr>
              <w:spacing w:before="20" w:after="20"/>
              <w:jc w:val="center"/>
              <w:rPr>
                <w:b/>
              </w:rPr>
            </w:pPr>
            <w:r w:rsidRPr="00A03F2C">
              <w:rPr>
                <w:b/>
              </w:rPr>
              <w:t>5 p. b.</w:t>
            </w:r>
          </w:p>
        </w:tc>
        <w:tc>
          <w:tcPr>
            <w:tcW w:w="964" w:type="dxa"/>
            <w:tcBorders>
              <w:bottom w:val="single" w:sz="4" w:space="0" w:color="auto"/>
            </w:tcBorders>
            <w:shd w:val="clear" w:color="auto" w:fill="C6D9F1"/>
          </w:tcPr>
          <w:p w14:paraId="1821029D" w14:textId="77777777" w:rsidR="00A03F2C" w:rsidRPr="00A03F2C" w:rsidRDefault="00A03F2C" w:rsidP="00A03F2C">
            <w:pPr>
              <w:spacing w:before="20" w:after="20"/>
              <w:jc w:val="center"/>
              <w:rPr>
                <w:b/>
              </w:rPr>
            </w:pPr>
            <w:r w:rsidRPr="00A03F2C">
              <w:rPr>
                <w:b/>
              </w:rPr>
              <w:t>6 p. b.</w:t>
            </w:r>
          </w:p>
        </w:tc>
      </w:tr>
      <w:tr w:rsidR="00A03F2C" w:rsidRPr="00A03F2C" w14:paraId="4976FC85" w14:textId="77777777" w:rsidTr="00A03F2C">
        <w:trPr>
          <w:jc w:val="center"/>
        </w:trPr>
        <w:tc>
          <w:tcPr>
            <w:tcW w:w="2324" w:type="dxa"/>
            <w:shd w:val="clear" w:color="auto" w:fill="C6D9F1"/>
            <w:vAlign w:val="center"/>
          </w:tcPr>
          <w:p w14:paraId="28F078BE" w14:textId="77777777" w:rsidR="00A03F2C" w:rsidRPr="00A03F2C" w:rsidRDefault="00A03F2C" w:rsidP="00A03F2C">
            <w:pPr>
              <w:spacing w:before="20" w:after="20"/>
              <w:jc w:val="center"/>
              <w:rPr>
                <w:b/>
              </w:rPr>
            </w:pPr>
            <w:r w:rsidRPr="00A03F2C">
              <w:rPr>
                <w:b/>
              </w:rPr>
              <w:t>Počet účastníků (tis.)</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C54DCED"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277,2</w:t>
            </w:r>
          </w:p>
          <w:p w14:paraId="4EAC4A03"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321,8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2A02DBB"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298,8</w:t>
            </w:r>
          </w:p>
          <w:p w14:paraId="16073434"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346,5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D6A7D7E"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321,8</w:t>
            </w:r>
          </w:p>
          <w:p w14:paraId="695D1301"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372,7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2AEEB1A"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346,5</w:t>
            </w:r>
          </w:p>
          <w:p w14:paraId="7B7E00D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400,7</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BF2FB05"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372,7</w:t>
            </w:r>
          </w:p>
          <w:p w14:paraId="2394AA3D"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430,5</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9539B36"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400,7</w:t>
            </w:r>
          </w:p>
          <w:p w14:paraId="3776312C"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462,2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49348F"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430,5</w:t>
            </w:r>
          </w:p>
          <w:p w14:paraId="2F72280B" w14:textId="77777777" w:rsidR="00A03F2C" w:rsidRPr="00A03F2C" w:rsidRDefault="00A03F2C" w:rsidP="00A03F2C">
            <w:pPr>
              <w:suppressAutoHyphens w:val="0"/>
              <w:spacing w:before="20" w:after="20" w:line="240" w:lineRule="auto"/>
              <w:jc w:val="center"/>
              <w:rPr>
                <w:rFonts w:cs="Calibri"/>
                <w:color w:val="000000"/>
              </w:rPr>
            </w:pPr>
            <w:r w:rsidRPr="00A03F2C">
              <w:rPr>
                <w:rFonts w:cs="Calibri"/>
                <w:color w:val="000000"/>
              </w:rPr>
              <w:t>495,9</w:t>
            </w:r>
          </w:p>
        </w:tc>
      </w:tr>
      <w:tr w:rsidR="00A03F2C" w:rsidRPr="00A03F2C" w14:paraId="217699A5" w14:textId="77777777" w:rsidTr="00A03F2C">
        <w:trPr>
          <w:jc w:val="center"/>
        </w:trPr>
        <w:tc>
          <w:tcPr>
            <w:tcW w:w="2324" w:type="dxa"/>
            <w:shd w:val="clear" w:color="auto" w:fill="C6D9F1"/>
            <w:vAlign w:val="center"/>
          </w:tcPr>
          <w:p w14:paraId="74C261F0" w14:textId="77777777" w:rsidR="00A03F2C" w:rsidRPr="00A03F2C" w:rsidRDefault="00A03F2C" w:rsidP="00A03F2C">
            <w:pPr>
              <w:spacing w:before="20" w:after="20"/>
              <w:jc w:val="center"/>
              <w:rPr>
                <w:b/>
              </w:rPr>
            </w:pPr>
            <w:r w:rsidRPr="00A03F2C">
              <w:rPr>
                <w:b/>
              </w:rPr>
              <w:t>Penetrace</w:t>
            </w:r>
          </w:p>
        </w:tc>
        <w:tc>
          <w:tcPr>
            <w:tcW w:w="964" w:type="dxa"/>
            <w:tcBorders>
              <w:top w:val="single" w:sz="4" w:space="0" w:color="auto"/>
              <w:left w:val="nil"/>
              <w:bottom w:val="single" w:sz="4" w:space="0" w:color="auto"/>
              <w:right w:val="single" w:sz="4" w:space="0" w:color="auto"/>
            </w:tcBorders>
            <w:shd w:val="clear" w:color="auto" w:fill="auto"/>
            <w:vAlign w:val="center"/>
          </w:tcPr>
          <w:p w14:paraId="60343C68"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14,6 %</w:t>
            </w:r>
          </w:p>
          <w:p w14:paraId="4EFE4450"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16,9 %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B8F856F"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15,7 %</w:t>
            </w:r>
          </w:p>
          <w:p w14:paraId="1BFEBB08"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18,2 %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659F53B"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16,9 %</w:t>
            </w:r>
          </w:p>
          <w:p w14:paraId="14218B50"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19,6 %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5EA3C59"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18,2 %</w:t>
            </w:r>
          </w:p>
          <w:p w14:paraId="661A1CB0"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21,0 %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12CB7D88"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19,6 %</w:t>
            </w:r>
          </w:p>
          <w:p w14:paraId="239B8BF8"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22,6 %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1558076"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21,0 %</w:t>
            </w:r>
          </w:p>
          <w:p w14:paraId="682E00C3"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24,3 %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7E02722"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22,6 %</w:t>
            </w:r>
          </w:p>
          <w:p w14:paraId="7D4A2B93" w14:textId="77777777" w:rsidR="00A03F2C" w:rsidRPr="00A03F2C" w:rsidRDefault="00A03F2C" w:rsidP="00A03F2C">
            <w:pPr>
              <w:suppressAutoHyphens w:val="0"/>
              <w:spacing w:before="20" w:after="20" w:line="240" w:lineRule="auto"/>
              <w:jc w:val="right"/>
              <w:rPr>
                <w:rFonts w:cs="Calibri"/>
                <w:color w:val="000000"/>
              </w:rPr>
            </w:pPr>
            <w:r w:rsidRPr="00A03F2C">
              <w:rPr>
                <w:rFonts w:cs="Calibri"/>
                <w:color w:val="000000"/>
              </w:rPr>
              <w:t>26,1 %</w:t>
            </w:r>
          </w:p>
        </w:tc>
      </w:tr>
    </w:tbl>
    <w:p w14:paraId="5DF11081" w14:textId="77777777" w:rsidR="00A03F2C" w:rsidRPr="00A03F2C" w:rsidRDefault="00A03F2C" w:rsidP="00A03F2C">
      <w:pPr>
        <w:spacing w:after="0" w:line="259" w:lineRule="auto"/>
        <w:jc w:val="both"/>
        <w:rPr>
          <w:sz w:val="18"/>
          <w:szCs w:val="20"/>
        </w:rPr>
      </w:pPr>
      <w:r w:rsidRPr="00A03F2C">
        <w:rPr>
          <w:sz w:val="18"/>
          <w:szCs w:val="20"/>
        </w:rPr>
        <w:t>Pozn.: První údaj v rámci buňky představuje výdaj na státní rozpočet za předpokladu 6% mezičtvrtletního tempa růstu počtu nezletilých účastníků v důsledku snížení minimální výše příspěvku pro nárok na státní příspěvek. Druhý údaj pak vyjadřuje výdaj na státní rozpočet za předpokladu 8% mezičtvrtletního tempa růstu počtu nezletilých účastníků v důsledku snížení minimální výše příspěvku pro nárok na státní příspěvek.</w:t>
      </w:r>
    </w:p>
    <w:p w14:paraId="0412FC3C" w14:textId="77777777" w:rsidR="00A03F2C" w:rsidRPr="00A03F2C" w:rsidRDefault="00A03F2C" w:rsidP="00A03F2C">
      <w:pPr>
        <w:spacing w:after="120"/>
        <w:jc w:val="right"/>
        <w:rPr>
          <w:rFonts w:eastAsia="Calibri"/>
          <w:sz w:val="18"/>
        </w:rPr>
      </w:pPr>
      <w:r w:rsidRPr="00A03F2C">
        <w:rPr>
          <w:rFonts w:eastAsia="Calibri"/>
          <w:sz w:val="18"/>
        </w:rPr>
        <w:t>Zdroj: MF, ČSÚ, výpočty</w:t>
      </w:r>
      <w:r w:rsidR="00376091">
        <w:rPr>
          <w:rFonts w:eastAsia="Calibri"/>
          <w:sz w:val="18"/>
        </w:rPr>
        <w:t xml:space="preserve"> MF</w:t>
      </w:r>
    </w:p>
    <w:p w14:paraId="67633554" w14:textId="77777777" w:rsidR="00A03F2C" w:rsidRPr="00A03F2C" w:rsidRDefault="00A03F2C" w:rsidP="00A03F2C">
      <w:pPr>
        <w:spacing w:after="120"/>
        <w:jc w:val="both"/>
      </w:pPr>
      <w:r w:rsidRPr="00A03F2C">
        <w:t xml:space="preserve">Již na základě jednak pokračujícího dosavadního rostoucího trendu počtu nezletilých účastníků a jednak nově navrhovaného opatření spočívajícího ve </w:t>
      </w:r>
      <w:r w:rsidRPr="00A03F2C">
        <w:rPr>
          <w:rFonts w:eastAsia="Calibri"/>
        </w:rPr>
        <w:t>snížení minimální výše příspěvku pro nárok na státní příspěvek by došlo ke konci roku 2028 k nárůstu penetrace DPS u nezletilých účastníků na cca 15 až 17 %. Jak zareagují nezletilí účastníci, resp. jejich rodiče na zvýšení procentuální výše státního příspěvku je obtížné odhadovat, neboť zde není žádný precedens, na základě kterého by mohlo být možné budoucí vývoj odvozovat. Podle sociodemografického průzkumu společnosti Ipsos z března 2026 realizovaného pro APS ČR by jednorázový příspěvek pro nové účastníky mladší 18 let ve výši 30 000 Kč měl potenciál zvýšit penetraci DPS u nezletilých účastníků oproti současné úrovni o 12 p. b. na 21 %.</w:t>
      </w:r>
      <w:r w:rsidRPr="00A03F2C">
        <w:rPr>
          <w:rFonts w:eastAsia="Calibri"/>
          <w:vertAlign w:val="superscript"/>
        </w:rPr>
        <w:footnoteReference w:id="11"/>
      </w:r>
      <w:r w:rsidRPr="00A03F2C">
        <w:rPr>
          <w:rFonts w:eastAsia="Calibri"/>
        </w:rPr>
        <w:t xml:space="preserve"> Nelze příliš očekávat, že by zvýšení procentuální výše státního příspěvku mělo výraznější efekt, než předpokládal tento průzkum. V tomto ohledu je tedy možné předpokládat, že ve variantě 2 by při zohlednění současné míry penetrace a jejího očekávaného částečného zvýšení již v důsledku snížení minimální výše příspěvku pro nárok na státní příspěvek mohlo být dodatečné navýšení tempa růstu počtu účastníků ve věku 0 až 17 let až o 6 p. b., což by celkovou penetraci DPS v roce 2028 v případě nezletilých účastníků zvýšilo na 23 až 26 %. V rámci této odhadované horní meze penetrace DPS a za předpokladu dodatečného navýšení tempa růstu počtu účastníků ve věku 0 až 17 let alespoň </w:t>
      </w:r>
      <w:r w:rsidRPr="00A03F2C">
        <w:rPr>
          <w:rFonts w:eastAsia="Calibri"/>
        </w:rPr>
        <w:lastRenderedPageBreak/>
        <w:t>o 3 p. b. lze usuzovat, že dodatečné výdaje státního rozpočtu v roce 2028 by se ve variantě 1 mohly pohybovat v intervalu 0,2 až 0,3 mld. Kč a ve variantě 2 v rozpětí 0,5 až 0,6 mld. Kč. Současně lze očekávat, že ve variantě 2 by došlo k vyššímu nárůstu počtu účastníků DPS ve věku 0 až 17 let než ve variantě 1. Míru rozdílu v růstu počtu účastníků mezi těmito variantami však nelze přesně určit.</w:t>
      </w:r>
    </w:p>
    <w:p w14:paraId="6401C5CF" w14:textId="77777777" w:rsidR="00A03F2C" w:rsidRPr="00A03F2C" w:rsidRDefault="00A03F2C" w:rsidP="00A03F2C">
      <w:pPr>
        <w:spacing w:after="120"/>
        <w:jc w:val="both"/>
        <w:rPr>
          <w:b/>
        </w:rPr>
      </w:pPr>
      <w:r w:rsidRPr="00A03F2C">
        <w:rPr>
          <w:b/>
        </w:rPr>
        <w:t xml:space="preserve">Navýšení výdajů státního rozpočtu na státní příspěvek mladým dospělým </w:t>
      </w:r>
    </w:p>
    <w:p w14:paraId="330E7E6D" w14:textId="77777777" w:rsidR="00A03F2C" w:rsidRPr="00A03F2C" w:rsidRDefault="00A03F2C" w:rsidP="00A03F2C">
      <w:pPr>
        <w:spacing w:after="120"/>
        <w:jc w:val="both"/>
      </w:pPr>
      <w:r w:rsidRPr="00A03F2C">
        <w:t>Při porovnání dopadů navýšení výdajů státního rozpočtu v případě účastníků ve věku 18 až 29 let je použita analýza citlivosti s několika zvolenými rozsahy reakce lišícími se mezičtvrtletním tempem růstu počtu účastníků ve věku 18 až 29 let s evidovaným příspěvkem</w:t>
      </w:r>
      <w:r w:rsidRPr="00A03F2C">
        <w:rPr>
          <w:vertAlign w:val="superscript"/>
        </w:rPr>
        <w:footnoteReference w:id="12"/>
      </w:r>
      <w:r w:rsidRPr="00A03F2C">
        <w:t xml:space="preserve">, jejichž počet ke konci roku 2025 činil 240,5 tisíc. </w:t>
      </w:r>
    </w:p>
    <w:p w14:paraId="4E14E879" w14:textId="77777777" w:rsidR="00A03F2C" w:rsidRPr="00A03F2C" w:rsidRDefault="00A03F2C" w:rsidP="00A03F2C">
      <w:pPr>
        <w:spacing w:after="120"/>
        <w:jc w:val="both"/>
      </w:pPr>
      <w:r w:rsidRPr="00A03F2C">
        <w:t>V analýze citlivosti je modelována výše výdajů ze státního rozpočtu v závislosti na průměrném tempu mezičtvrtletního růstu počtu účastníků ve věku 18 až 29 let s evidovaným příspěvkem v letech 2027 a 2028 a různého nastavení procentuální výše státního příspěvku. Průměrné tempo mezičtvrtletního růst počtu účastníků ve věku 18 až 29 let s evidovaným příspěvkem je vyjádřené v procentech, a to konkrétně pro hodnoty 2 %, 4 %, 6 % 8 %, 10 % a 12 %. Procentuální výše státního příspěvku je uvažována v současné výši 20 % a následně zvýšené sazbě na 25 % (varianta 1), 30 %, 35 % a 40 % (varianta 2). Dopady jsou modelovány jen pro rok 2028, který představuje první rok, v němž se změna nastavení státního příspěvku plně projeví v rámci rozpočtového výdaje.</w:t>
      </w:r>
    </w:p>
    <w:p w14:paraId="132751BC" w14:textId="77777777" w:rsidR="00A03F2C" w:rsidRPr="00A03F2C" w:rsidRDefault="00A03F2C" w:rsidP="00A03F2C">
      <w:pPr>
        <w:spacing w:after="120"/>
        <w:jc w:val="both"/>
      </w:pPr>
      <w:r w:rsidRPr="00A03F2C">
        <w:t>Předpokládaný budoucí vývoj současného stavu, tj. varianty 0, je brán jako základní scénář s mezičtvrtletním růstem počtu nezletilých účastníků určeného na základě průměrného mezičtvrtletního tempa růstu v roce 2025 ve výši 1 % a s pokračováním trendu vývoje procentních podílů jednotlivých kategorií účastníků ve věku 18 až 29 let podle výše e</w:t>
      </w:r>
      <w:r w:rsidR="001D5449">
        <w:t>vidovaného příspěvku započatého</w:t>
      </w:r>
      <w:r w:rsidRPr="00A03F2C">
        <w:t xml:space="preserve"> v roce 2025 již po změně poskytování státního příspěvku. Změny ve variantách 1 a 2 jsou potom vždy uvažovány na pozadí tohoto základního scénáře, přičemž vyšší nárůst počtu účastníků ve věku 18 až 29 let s evidovaným příspěvkem je rozprostřen mezi jednotlivé kategorie účastníků ve věku 18 až 29 let podle výše příspěvku na základě podílů daných kategorií na celkovém počtu účastníků ve věku 18 až 29 let predikovaných v základním scénáři. Z hlediska vyššího nárůstu účastníků ve věku 18 až 29 let tedy není předpokládán dopad na vývoj struktury účastníků podle výše jejich příspěvku.</w:t>
      </w:r>
    </w:p>
    <w:p w14:paraId="667762B9" w14:textId="77777777" w:rsidR="00A03F2C" w:rsidRPr="00A03F2C" w:rsidRDefault="00A03F2C" w:rsidP="00B8277D">
      <w:pPr>
        <w:spacing w:before="80" w:after="120" w:line="259" w:lineRule="auto"/>
        <w:jc w:val="both"/>
        <w:rPr>
          <w:rFonts w:eastAsia="Calibri"/>
          <w:b/>
          <w:bCs/>
          <w:color w:val="4F81BD"/>
          <w:sz w:val="20"/>
          <w:szCs w:val="18"/>
        </w:rPr>
      </w:pPr>
      <w:bookmarkStart w:id="182" w:name="_Toc230006809"/>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BA7E70">
        <w:rPr>
          <w:rFonts w:eastAsia="Calibri"/>
          <w:b/>
          <w:bCs/>
          <w:noProof/>
          <w:color w:val="4F81BD"/>
          <w:sz w:val="20"/>
          <w:szCs w:val="18"/>
        </w:rPr>
        <w:t>13</w:t>
      </w:r>
      <w:r w:rsidRPr="00A03F2C">
        <w:rPr>
          <w:rFonts w:eastAsia="Calibri"/>
          <w:b/>
          <w:bCs/>
          <w:color w:val="4F81BD"/>
          <w:sz w:val="20"/>
          <w:szCs w:val="18"/>
        </w:rPr>
        <w:fldChar w:fldCharType="end"/>
      </w:r>
      <w:r w:rsidRPr="00A03F2C">
        <w:rPr>
          <w:rFonts w:eastAsia="Calibri"/>
          <w:b/>
          <w:bCs/>
          <w:color w:val="4F81BD"/>
          <w:sz w:val="20"/>
          <w:szCs w:val="18"/>
        </w:rPr>
        <w:t>: Výdaje státního rozpočtu v roce 2028 v závislosti na průměrném mezičtvrtletním tempu růstu počtu účastníků ve věku 18 až 29 let s evidovaným příspěvkem v letech 2027 a 2028 při různém nastavení procentuální výše státního příspěvku</w:t>
      </w:r>
      <w:bookmarkEnd w:id="182"/>
      <w:r w:rsidRPr="00A03F2C">
        <w:rPr>
          <w:rFonts w:eastAsia="Calibri"/>
          <w:b/>
          <w:bCs/>
          <w:color w:val="4F81BD"/>
          <w:sz w:val="20"/>
          <w:szCs w:val="18"/>
        </w:rPr>
        <w:t xml:space="preserve"> </w:t>
      </w:r>
    </w:p>
    <w:tbl>
      <w:tblPr>
        <w:tblStyle w:val="Mkatabulky3"/>
        <w:tblW w:w="9072" w:type="dxa"/>
        <w:jc w:val="center"/>
        <w:tblLayout w:type="fixed"/>
        <w:tblLook w:val="04A0" w:firstRow="1" w:lastRow="0" w:firstColumn="1" w:lastColumn="0" w:noHBand="0" w:noVBand="1"/>
      </w:tblPr>
      <w:tblGrid>
        <w:gridCol w:w="1813"/>
        <w:gridCol w:w="908"/>
        <w:gridCol w:w="907"/>
        <w:gridCol w:w="907"/>
        <w:gridCol w:w="907"/>
        <w:gridCol w:w="907"/>
        <w:gridCol w:w="907"/>
        <w:gridCol w:w="907"/>
        <w:gridCol w:w="909"/>
      </w:tblGrid>
      <w:tr w:rsidR="00A03F2C" w:rsidRPr="00A03F2C" w14:paraId="600636E0" w14:textId="77777777" w:rsidTr="00A03F2C">
        <w:trPr>
          <w:jc w:val="center"/>
        </w:trPr>
        <w:tc>
          <w:tcPr>
            <w:tcW w:w="2721" w:type="dxa"/>
            <w:gridSpan w:val="2"/>
            <w:vMerge w:val="restart"/>
            <w:shd w:val="clear" w:color="auto" w:fill="C6D9F1"/>
          </w:tcPr>
          <w:p w14:paraId="0D1353B6" w14:textId="77777777" w:rsidR="00A03F2C" w:rsidRPr="00A03F2C" w:rsidRDefault="00A03F2C" w:rsidP="00A03F2C">
            <w:pPr>
              <w:spacing w:before="20" w:after="20"/>
              <w:jc w:val="both"/>
            </w:pPr>
            <w:r w:rsidRPr="00A03F2C">
              <w:t>v mil. Kč</w:t>
            </w:r>
          </w:p>
        </w:tc>
        <w:tc>
          <w:tcPr>
            <w:tcW w:w="6351" w:type="dxa"/>
            <w:gridSpan w:val="7"/>
            <w:shd w:val="clear" w:color="auto" w:fill="C6D9F1"/>
          </w:tcPr>
          <w:p w14:paraId="397F344D" w14:textId="77777777" w:rsidR="00A03F2C" w:rsidRPr="00A03F2C" w:rsidRDefault="00A03F2C" w:rsidP="00A03F2C">
            <w:pPr>
              <w:spacing w:before="20" w:after="20"/>
              <w:jc w:val="center"/>
              <w:rPr>
                <w:b/>
              </w:rPr>
            </w:pPr>
            <w:r w:rsidRPr="00A03F2C">
              <w:rPr>
                <w:b/>
              </w:rPr>
              <w:t>Mezičtvrtletní tempo růstu počtu účastníků ve věku 18 až 29 let</w:t>
            </w:r>
          </w:p>
        </w:tc>
      </w:tr>
      <w:tr w:rsidR="00A03F2C" w:rsidRPr="00A03F2C" w14:paraId="65B861CB" w14:textId="77777777" w:rsidTr="00A03F2C">
        <w:trPr>
          <w:jc w:val="center"/>
        </w:trPr>
        <w:tc>
          <w:tcPr>
            <w:tcW w:w="2721" w:type="dxa"/>
            <w:gridSpan w:val="2"/>
            <w:vMerge/>
            <w:shd w:val="clear" w:color="auto" w:fill="C6D9F1"/>
          </w:tcPr>
          <w:p w14:paraId="69742576" w14:textId="77777777" w:rsidR="00A03F2C" w:rsidRPr="00A03F2C" w:rsidRDefault="00A03F2C" w:rsidP="00A03F2C">
            <w:pPr>
              <w:spacing w:before="20" w:after="20"/>
              <w:jc w:val="both"/>
            </w:pPr>
          </w:p>
        </w:tc>
        <w:tc>
          <w:tcPr>
            <w:tcW w:w="907" w:type="dxa"/>
            <w:tcBorders>
              <w:bottom w:val="single" w:sz="4" w:space="0" w:color="auto"/>
            </w:tcBorders>
            <w:shd w:val="clear" w:color="auto" w:fill="C6D9F1"/>
          </w:tcPr>
          <w:p w14:paraId="27CE03E6" w14:textId="77777777" w:rsidR="00A03F2C" w:rsidRPr="00A03F2C" w:rsidRDefault="00A03F2C" w:rsidP="00A03F2C">
            <w:pPr>
              <w:spacing w:before="20" w:after="20"/>
              <w:jc w:val="center"/>
              <w:rPr>
                <w:b/>
              </w:rPr>
            </w:pPr>
            <w:r w:rsidRPr="00A03F2C">
              <w:rPr>
                <w:b/>
              </w:rPr>
              <w:t xml:space="preserve">1 % </w:t>
            </w:r>
          </w:p>
        </w:tc>
        <w:tc>
          <w:tcPr>
            <w:tcW w:w="907" w:type="dxa"/>
            <w:tcBorders>
              <w:bottom w:val="single" w:sz="4" w:space="0" w:color="auto"/>
            </w:tcBorders>
            <w:shd w:val="clear" w:color="auto" w:fill="C6D9F1"/>
            <w:vAlign w:val="center"/>
          </w:tcPr>
          <w:p w14:paraId="257854D7" w14:textId="77777777" w:rsidR="00A03F2C" w:rsidRPr="00A03F2C" w:rsidRDefault="00A03F2C" w:rsidP="00A03F2C">
            <w:pPr>
              <w:spacing w:before="20" w:after="20"/>
              <w:jc w:val="center"/>
              <w:rPr>
                <w:b/>
              </w:rPr>
            </w:pPr>
            <w:r w:rsidRPr="00A03F2C">
              <w:rPr>
                <w:b/>
              </w:rPr>
              <w:t>2 %</w:t>
            </w:r>
          </w:p>
        </w:tc>
        <w:tc>
          <w:tcPr>
            <w:tcW w:w="907" w:type="dxa"/>
            <w:tcBorders>
              <w:bottom w:val="single" w:sz="4" w:space="0" w:color="auto"/>
            </w:tcBorders>
            <w:shd w:val="clear" w:color="auto" w:fill="C6D9F1"/>
            <w:vAlign w:val="center"/>
          </w:tcPr>
          <w:p w14:paraId="145B7E1F" w14:textId="77777777" w:rsidR="00A03F2C" w:rsidRPr="00A03F2C" w:rsidRDefault="00A03F2C" w:rsidP="00A03F2C">
            <w:pPr>
              <w:spacing w:before="20" w:after="20"/>
              <w:jc w:val="center"/>
              <w:rPr>
                <w:b/>
              </w:rPr>
            </w:pPr>
            <w:r w:rsidRPr="00A03F2C">
              <w:rPr>
                <w:b/>
              </w:rPr>
              <w:t>4 %</w:t>
            </w:r>
          </w:p>
        </w:tc>
        <w:tc>
          <w:tcPr>
            <w:tcW w:w="907" w:type="dxa"/>
            <w:tcBorders>
              <w:bottom w:val="single" w:sz="4" w:space="0" w:color="auto"/>
            </w:tcBorders>
            <w:shd w:val="clear" w:color="auto" w:fill="C6D9F1"/>
            <w:vAlign w:val="center"/>
          </w:tcPr>
          <w:p w14:paraId="15021FB7" w14:textId="77777777" w:rsidR="00A03F2C" w:rsidRPr="00A03F2C" w:rsidRDefault="00A03F2C" w:rsidP="00A03F2C">
            <w:pPr>
              <w:spacing w:before="20" w:after="20"/>
              <w:jc w:val="center"/>
              <w:rPr>
                <w:b/>
              </w:rPr>
            </w:pPr>
            <w:r w:rsidRPr="00A03F2C">
              <w:rPr>
                <w:b/>
              </w:rPr>
              <w:t xml:space="preserve">6 % </w:t>
            </w:r>
          </w:p>
        </w:tc>
        <w:tc>
          <w:tcPr>
            <w:tcW w:w="907" w:type="dxa"/>
            <w:tcBorders>
              <w:bottom w:val="single" w:sz="4" w:space="0" w:color="auto"/>
            </w:tcBorders>
            <w:shd w:val="clear" w:color="auto" w:fill="C6D9F1"/>
            <w:vAlign w:val="center"/>
          </w:tcPr>
          <w:p w14:paraId="0D8768A7" w14:textId="77777777" w:rsidR="00A03F2C" w:rsidRPr="00A03F2C" w:rsidRDefault="00A03F2C" w:rsidP="00A03F2C">
            <w:pPr>
              <w:spacing w:before="20" w:after="20"/>
              <w:jc w:val="center"/>
              <w:rPr>
                <w:b/>
              </w:rPr>
            </w:pPr>
            <w:r w:rsidRPr="00A03F2C">
              <w:rPr>
                <w:b/>
              </w:rPr>
              <w:t>8 %</w:t>
            </w:r>
          </w:p>
        </w:tc>
        <w:tc>
          <w:tcPr>
            <w:tcW w:w="907" w:type="dxa"/>
            <w:tcBorders>
              <w:bottom w:val="single" w:sz="4" w:space="0" w:color="auto"/>
            </w:tcBorders>
            <w:shd w:val="clear" w:color="auto" w:fill="C6D9F1"/>
            <w:vAlign w:val="center"/>
          </w:tcPr>
          <w:p w14:paraId="1EC698D9" w14:textId="77777777" w:rsidR="00A03F2C" w:rsidRPr="00A03F2C" w:rsidRDefault="00A03F2C" w:rsidP="00A03F2C">
            <w:pPr>
              <w:spacing w:before="20" w:after="20"/>
              <w:jc w:val="center"/>
              <w:rPr>
                <w:b/>
              </w:rPr>
            </w:pPr>
            <w:r w:rsidRPr="00A03F2C">
              <w:rPr>
                <w:b/>
              </w:rPr>
              <w:t>10 %</w:t>
            </w:r>
          </w:p>
        </w:tc>
        <w:tc>
          <w:tcPr>
            <w:tcW w:w="909" w:type="dxa"/>
            <w:tcBorders>
              <w:bottom w:val="single" w:sz="4" w:space="0" w:color="auto"/>
            </w:tcBorders>
            <w:shd w:val="clear" w:color="auto" w:fill="C6D9F1"/>
          </w:tcPr>
          <w:p w14:paraId="43E28FED" w14:textId="77777777" w:rsidR="00A03F2C" w:rsidRPr="00A03F2C" w:rsidRDefault="00A03F2C" w:rsidP="00A03F2C">
            <w:pPr>
              <w:spacing w:before="20" w:after="20"/>
              <w:jc w:val="center"/>
              <w:rPr>
                <w:b/>
              </w:rPr>
            </w:pPr>
            <w:r w:rsidRPr="00A03F2C">
              <w:rPr>
                <w:b/>
              </w:rPr>
              <w:t>12 %</w:t>
            </w:r>
          </w:p>
        </w:tc>
      </w:tr>
      <w:tr w:rsidR="00A03F2C" w:rsidRPr="00A03F2C" w14:paraId="32D0ED01" w14:textId="77777777" w:rsidTr="00A03F2C">
        <w:trPr>
          <w:jc w:val="center"/>
        </w:trPr>
        <w:tc>
          <w:tcPr>
            <w:tcW w:w="1813" w:type="dxa"/>
            <w:vMerge w:val="restart"/>
            <w:shd w:val="clear" w:color="auto" w:fill="C6D9F1"/>
            <w:vAlign w:val="center"/>
          </w:tcPr>
          <w:p w14:paraId="6D8C9BC2" w14:textId="77777777" w:rsidR="00A03F2C" w:rsidRPr="00A03F2C" w:rsidRDefault="00A03F2C" w:rsidP="00A03F2C">
            <w:pPr>
              <w:spacing w:before="20" w:after="20"/>
              <w:jc w:val="center"/>
              <w:rPr>
                <w:b/>
              </w:rPr>
            </w:pPr>
            <w:r w:rsidRPr="00A03F2C">
              <w:rPr>
                <w:b/>
              </w:rPr>
              <w:t>Procentuální výše státního příspěvku</w:t>
            </w:r>
          </w:p>
        </w:tc>
        <w:tc>
          <w:tcPr>
            <w:tcW w:w="908" w:type="dxa"/>
            <w:shd w:val="clear" w:color="auto" w:fill="C6D9F1"/>
            <w:vAlign w:val="center"/>
          </w:tcPr>
          <w:p w14:paraId="46405AB6" w14:textId="77777777" w:rsidR="00A03F2C" w:rsidRPr="00A03F2C" w:rsidRDefault="00A03F2C" w:rsidP="00A03F2C">
            <w:pPr>
              <w:spacing w:before="20" w:after="20"/>
              <w:jc w:val="center"/>
              <w:rPr>
                <w:b/>
              </w:rPr>
            </w:pPr>
            <w:r w:rsidRPr="00A03F2C">
              <w:rPr>
                <w:b/>
              </w:rPr>
              <w:t>20 %</w:t>
            </w:r>
          </w:p>
        </w:tc>
        <w:tc>
          <w:tcPr>
            <w:tcW w:w="907" w:type="dxa"/>
            <w:tcBorders>
              <w:top w:val="single" w:sz="4" w:space="0" w:color="auto"/>
              <w:left w:val="nil"/>
              <w:bottom w:val="single" w:sz="4" w:space="0" w:color="auto"/>
              <w:right w:val="single" w:sz="4" w:space="0" w:color="auto"/>
            </w:tcBorders>
            <w:shd w:val="clear" w:color="auto" w:fill="auto"/>
            <w:vAlign w:val="center"/>
          </w:tcPr>
          <w:p w14:paraId="2DE4CE10"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415,3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FC67"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438,6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FCC4EC"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488,5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B72D7"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543,1</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118B89"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603,0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22A9B0"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668,5</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61D49124"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740,0</w:t>
            </w:r>
          </w:p>
        </w:tc>
      </w:tr>
      <w:tr w:rsidR="00A03F2C" w:rsidRPr="00A03F2C" w14:paraId="7E9313C6" w14:textId="77777777" w:rsidTr="00A03F2C">
        <w:trPr>
          <w:jc w:val="center"/>
        </w:trPr>
        <w:tc>
          <w:tcPr>
            <w:tcW w:w="1813" w:type="dxa"/>
            <w:vMerge/>
            <w:shd w:val="clear" w:color="auto" w:fill="C6D9F1"/>
          </w:tcPr>
          <w:p w14:paraId="14211622" w14:textId="77777777" w:rsidR="00A03F2C" w:rsidRPr="00A03F2C" w:rsidRDefault="00A03F2C" w:rsidP="00A03F2C">
            <w:pPr>
              <w:spacing w:before="20" w:after="20"/>
              <w:jc w:val="both"/>
            </w:pPr>
          </w:p>
        </w:tc>
        <w:tc>
          <w:tcPr>
            <w:tcW w:w="908" w:type="dxa"/>
            <w:shd w:val="clear" w:color="auto" w:fill="C6D9F1"/>
            <w:vAlign w:val="center"/>
          </w:tcPr>
          <w:p w14:paraId="545AD6DD" w14:textId="77777777" w:rsidR="00A03F2C" w:rsidRPr="00A03F2C" w:rsidRDefault="00A03F2C" w:rsidP="00A03F2C">
            <w:pPr>
              <w:spacing w:before="20" w:after="20"/>
              <w:jc w:val="center"/>
              <w:rPr>
                <w:b/>
              </w:rPr>
            </w:pPr>
            <w:r w:rsidRPr="00A03F2C">
              <w:rPr>
                <w:b/>
              </w:rPr>
              <w:t>25 %</w:t>
            </w:r>
          </w:p>
        </w:tc>
        <w:tc>
          <w:tcPr>
            <w:tcW w:w="907" w:type="dxa"/>
            <w:tcBorders>
              <w:top w:val="single" w:sz="4" w:space="0" w:color="auto"/>
              <w:left w:val="nil"/>
              <w:bottom w:val="single" w:sz="4" w:space="0" w:color="auto"/>
              <w:right w:val="single" w:sz="4" w:space="0" w:color="auto"/>
            </w:tcBorders>
            <w:shd w:val="clear" w:color="auto" w:fill="auto"/>
            <w:vAlign w:val="center"/>
          </w:tcPr>
          <w:p w14:paraId="3BF1C52F"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519,2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26814D"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548,2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3B5005"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610,6</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79C2FC"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678,9</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39F811"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753,8</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E78B2"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835,6</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1A991A4F"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925,0</w:t>
            </w:r>
          </w:p>
        </w:tc>
      </w:tr>
      <w:tr w:rsidR="00A03F2C" w:rsidRPr="00A03F2C" w14:paraId="4CB3481A" w14:textId="77777777" w:rsidTr="00A03F2C">
        <w:trPr>
          <w:jc w:val="center"/>
        </w:trPr>
        <w:tc>
          <w:tcPr>
            <w:tcW w:w="1813" w:type="dxa"/>
            <w:vMerge/>
            <w:shd w:val="clear" w:color="auto" w:fill="C6D9F1"/>
          </w:tcPr>
          <w:p w14:paraId="6B6A9348" w14:textId="77777777" w:rsidR="00A03F2C" w:rsidRPr="00A03F2C" w:rsidRDefault="00A03F2C" w:rsidP="00A03F2C">
            <w:pPr>
              <w:spacing w:before="20" w:after="20"/>
              <w:jc w:val="both"/>
            </w:pPr>
          </w:p>
        </w:tc>
        <w:tc>
          <w:tcPr>
            <w:tcW w:w="908" w:type="dxa"/>
            <w:shd w:val="clear" w:color="auto" w:fill="C6D9F1"/>
            <w:vAlign w:val="center"/>
          </w:tcPr>
          <w:p w14:paraId="72A110D6" w14:textId="77777777" w:rsidR="00A03F2C" w:rsidRPr="00A03F2C" w:rsidRDefault="00A03F2C" w:rsidP="00A03F2C">
            <w:pPr>
              <w:spacing w:before="20" w:after="20"/>
              <w:jc w:val="center"/>
              <w:rPr>
                <w:b/>
              </w:rPr>
            </w:pPr>
            <w:r w:rsidRPr="00A03F2C">
              <w:rPr>
                <w:b/>
              </w:rPr>
              <w:t>30 %</w:t>
            </w:r>
          </w:p>
        </w:tc>
        <w:tc>
          <w:tcPr>
            <w:tcW w:w="907" w:type="dxa"/>
            <w:tcBorders>
              <w:top w:val="single" w:sz="4" w:space="0" w:color="auto"/>
              <w:left w:val="nil"/>
              <w:bottom w:val="single" w:sz="4" w:space="0" w:color="auto"/>
              <w:right w:val="single" w:sz="4" w:space="0" w:color="auto"/>
            </w:tcBorders>
            <w:shd w:val="clear" w:color="auto" w:fill="auto"/>
            <w:vAlign w:val="center"/>
          </w:tcPr>
          <w:p w14:paraId="280FE04C"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623,0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1C9583"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657,9</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A06428"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732,7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2F3AC2"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814,7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DF15B"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904,5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50F178"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1 002,7</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6C4C7862"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1 110,0</w:t>
            </w:r>
          </w:p>
        </w:tc>
      </w:tr>
      <w:tr w:rsidR="00A03F2C" w:rsidRPr="00A03F2C" w14:paraId="1293E2B9" w14:textId="77777777" w:rsidTr="00A03F2C">
        <w:trPr>
          <w:jc w:val="center"/>
        </w:trPr>
        <w:tc>
          <w:tcPr>
            <w:tcW w:w="1813" w:type="dxa"/>
            <w:vMerge/>
            <w:shd w:val="clear" w:color="auto" w:fill="C6D9F1"/>
          </w:tcPr>
          <w:p w14:paraId="14E1FB11" w14:textId="77777777" w:rsidR="00A03F2C" w:rsidRPr="00A03F2C" w:rsidRDefault="00A03F2C" w:rsidP="00A03F2C">
            <w:pPr>
              <w:spacing w:before="20" w:after="20"/>
              <w:jc w:val="both"/>
            </w:pPr>
          </w:p>
        </w:tc>
        <w:tc>
          <w:tcPr>
            <w:tcW w:w="908" w:type="dxa"/>
            <w:shd w:val="clear" w:color="auto" w:fill="C6D9F1"/>
            <w:vAlign w:val="center"/>
          </w:tcPr>
          <w:p w14:paraId="3C698B0D" w14:textId="77777777" w:rsidR="00A03F2C" w:rsidRPr="00A03F2C" w:rsidRDefault="00A03F2C" w:rsidP="00A03F2C">
            <w:pPr>
              <w:spacing w:before="20" w:after="20"/>
              <w:jc w:val="center"/>
              <w:rPr>
                <w:b/>
              </w:rPr>
            </w:pPr>
            <w:r w:rsidRPr="00A03F2C">
              <w:rPr>
                <w:b/>
              </w:rPr>
              <w:t>35 %</w:t>
            </w:r>
          </w:p>
        </w:tc>
        <w:tc>
          <w:tcPr>
            <w:tcW w:w="907" w:type="dxa"/>
            <w:tcBorders>
              <w:top w:val="single" w:sz="4" w:space="0" w:color="auto"/>
              <w:left w:val="nil"/>
              <w:bottom w:val="single" w:sz="4" w:space="0" w:color="auto"/>
              <w:right w:val="single" w:sz="4" w:space="0" w:color="auto"/>
            </w:tcBorders>
            <w:shd w:val="clear" w:color="auto" w:fill="auto"/>
            <w:vAlign w:val="center"/>
          </w:tcPr>
          <w:p w14:paraId="38083D53"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726,8</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257D8F"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767,5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E99B6"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854,8</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BAEE2"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950,5</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211728"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1 055,3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82012C"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1 169,8</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0A73ABD6"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1 295,0</w:t>
            </w:r>
          </w:p>
        </w:tc>
      </w:tr>
      <w:tr w:rsidR="00A03F2C" w:rsidRPr="00A03F2C" w14:paraId="562A19AE" w14:textId="77777777" w:rsidTr="00A03F2C">
        <w:trPr>
          <w:jc w:val="center"/>
        </w:trPr>
        <w:tc>
          <w:tcPr>
            <w:tcW w:w="1813" w:type="dxa"/>
            <w:vMerge/>
            <w:shd w:val="clear" w:color="auto" w:fill="C6D9F1"/>
          </w:tcPr>
          <w:p w14:paraId="4E6D8C9A" w14:textId="77777777" w:rsidR="00A03F2C" w:rsidRPr="00A03F2C" w:rsidRDefault="00A03F2C" w:rsidP="00A03F2C">
            <w:pPr>
              <w:spacing w:before="20" w:after="20"/>
              <w:jc w:val="both"/>
            </w:pPr>
          </w:p>
        </w:tc>
        <w:tc>
          <w:tcPr>
            <w:tcW w:w="908" w:type="dxa"/>
            <w:shd w:val="clear" w:color="auto" w:fill="C6D9F1"/>
            <w:vAlign w:val="center"/>
          </w:tcPr>
          <w:p w14:paraId="5BB7CF07" w14:textId="77777777" w:rsidR="00A03F2C" w:rsidRPr="00A03F2C" w:rsidRDefault="00A03F2C" w:rsidP="00A03F2C">
            <w:pPr>
              <w:spacing w:before="20" w:after="20"/>
              <w:jc w:val="center"/>
              <w:rPr>
                <w:b/>
              </w:rPr>
            </w:pPr>
            <w:r w:rsidRPr="00A03F2C">
              <w:rPr>
                <w:b/>
              </w:rPr>
              <w:t>40 %</w:t>
            </w:r>
          </w:p>
        </w:tc>
        <w:tc>
          <w:tcPr>
            <w:tcW w:w="907" w:type="dxa"/>
            <w:tcBorders>
              <w:top w:val="single" w:sz="4" w:space="0" w:color="auto"/>
              <w:left w:val="nil"/>
              <w:bottom w:val="single" w:sz="4" w:space="0" w:color="auto"/>
              <w:right w:val="single" w:sz="4" w:space="0" w:color="auto"/>
            </w:tcBorders>
            <w:shd w:val="clear" w:color="auto" w:fill="auto"/>
            <w:vAlign w:val="center"/>
          </w:tcPr>
          <w:p w14:paraId="358E2CA4"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830,7</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53550A"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877,2</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F222B8"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976,9</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2ACEA0"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1 086,3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45AB8A"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1 206,0</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D297B0"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1 336,9</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14:paraId="33120A83"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1 480,0</w:t>
            </w:r>
          </w:p>
        </w:tc>
      </w:tr>
    </w:tbl>
    <w:p w14:paraId="28281D1A" w14:textId="77777777" w:rsidR="00A03F2C" w:rsidRPr="009D2306" w:rsidRDefault="00A03F2C" w:rsidP="00A03F2C">
      <w:pPr>
        <w:spacing w:before="240" w:after="120"/>
        <w:jc w:val="both"/>
        <w:rPr>
          <w:rFonts w:eastAsia="Calibri"/>
        </w:rPr>
      </w:pPr>
      <w:r w:rsidRPr="00A03F2C">
        <w:rPr>
          <w:rFonts w:eastAsia="Calibri"/>
        </w:rPr>
        <w:t xml:space="preserve">Výdaj státního rozpočtu při předpokládaném budoucím vývoji současného stavu je odhadován v roce 2028 na 415,3 mil. Kč (varianta 0). Ve variantách 1 a 2 výdaj státního rozpočtu při 1% průměrném </w:t>
      </w:r>
      <w:r w:rsidRPr="00A03F2C">
        <w:rPr>
          <w:rFonts w:eastAsia="Calibri"/>
        </w:rPr>
        <w:lastRenderedPageBreak/>
        <w:t xml:space="preserve">mezičtvrtletním tempu růstu počtu účastníků ve věku 18 až 29 let s evidovaným příspěvkem </w:t>
      </w:r>
      <w:r w:rsidRPr="009D2306">
        <w:rPr>
          <w:rFonts w:eastAsia="Calibri"/>
        </w:rPr>
        <w:t xml:space="preserve">představuje výdaj státního rozpočtu zohledňující pouze nárůst výdajů spojený se zvýšením procentuální výše státního příspěvku při předpokládaném vývoji počtu účastníků dle současného stavu. Oproti variantě 0 se výdaj státního rozpočtu zvyšuje ve variantě 1 o 103,8 mil. Kč </w:t>
      </w:r>
      <w:r w:rsidR="006C46DE" w:rsidRPr="009D2306">
        <w:rPr>
          <w:rFonts w:eastAsia="Calibri"/>
        </w:rPr>
        <w:t>(tj. 519,2 -</w:t>
      </w:r>
      <w:r w:rsidR="001A3925" w:rsidRPr="009D2306">
        <w:rPr>
          <w:rFonts w:eastAsia="Calibri"/>
        </w:rPr>
        <w:t xml:space="preserve"> 415,3 mil. Kč) </w:t>
      </w:r>
      <w:r w:rsidRPr="009D2306">
        <w:rPr>
          <w:rFonts w:eastAsia="Calibri"/>
        </w:rPr>
        <w:t>a ve variantě 2 o 415,3 mil. Kč</w:t>
      </w:r>
      <w:r w:rsidR="001A3925" w:rsidRPr="009D2306">
        <w:rPr>
          <w:rFonts w:eastAsia="Calibri"/>
        </w:rPr>
        <w:t xml:space="preserve"> </w:t>
      </w:r>
      <w:r w:rsidR="006C46DE" w:rsidRPr="009D2306">
        <w:rPr>
          <w:rFonts w:eastAsia="Calibri"/>
        </w:rPr>
        <w:t>(tj. 830,7 -</w:t>
      </w:r>
      <w:r w:rsidR="001A3925" w:rsidRPr="009D2306">
        <w:rPr>
          <w:rFonts w:eastAsia="Calibri"/>
        </w:rPr>
        <w:t xml:space="preserve"> 415,3 mil. Kč)</w:t>
      </w:r>
      <w:r w:rsidRPr="009D2306">
        <w:rPr>
          <w:rFonts w:eastAsia="Calibri"/>
        </w:rPr>
        <w:t>.</w:t>
      </w:r>
    </w:p>
    <w:p w14:paraId="25F12FB6" w14:textId="77777777" w:rsidR="00A03F2C" w:rsidRPr="00A03F2C" w:rsidRDefault="00A03F2C" w:rsidP="00A03F2C">
      <w:pPr>
        <w:spacing w:after="120"/>
        <w:jc w:val="both"/>
        <w:rPr>
          <w:rFonts w:eastAsia="Calibri"/>
        </w:rPr>
      </w:pPr>
      <w:r w:rsidRPr="009D2306">
        <w:rPr>
          <w:rFonts w:eastAsia="Calibri"/>
        </w:rPr>
        <w:t xml:space="preserve">Jednotlivé hodnoty průměrného tempa růstu počtu účastníků ve věku 18 až 29 let s evidovaným příspěvkem v letech 2027 a 2028 vykazují různé výše penetrace DPS na konci roku 2028 (viz tabulka </w:t>
      </w:r>
      <w:r w:rsidR="00BA7E70" w:rsidRPr="009D2306">
        <w:rPr>
          <w:rFonts w:eastAsia="Calibri"/>
        </w:rPr>
        <w:t>14</w:t>
      </w:r>
      <w:r w:rsidRPr="009D2306">
        <w:rPr>
          <w:rFonts w:eastAsia="Calibri"/>
        </w:rPr>
        <w:t>), kdy</w:t>
      </w:r>
      <w:r w:rsidRPr="00A03F2C">
        <w:rPr>
          <w:rFonts w:eastAsia="Calibri"/>
        </w:rPr>
        <w:t xml:space="preserve"> příslušná výše penetrace byla odhadnuta na základě projekce obyvatelstva ČR zpracované ČSÚ</w:t>
      </w:r>
      <w:r w:rsidRPr="00A03F2C">
        <w:rPr>
          <w:rFonts w:eastAsia="Calibri"/>
          <w:vertAlign w:val="superscript"/>
        </w:rPr>
        <w:footnoteReference w:id="13"/>
      </w:r>
      <w:r w:rsidRPr="00A03F2C">
        <w:rPr>
          <w:rFonts w:eastAsia="Calibri"/>
        </w:rPr>
        <w:t>.</w:t>
      </w:r>
    </w:p>
    <w:p w14:paraId="30C0149D" w14:textId="77777777" w:rsidR="00A03F2C" w:rsidRPr="00A03F2C" w:rsidRDefault="00A03F2C" w:rsidP="00B8277D">
      <w:pPr>
        <w:spacing w:before="80" w:after="120" w:line="259" w:lineRule="auto"/>
        <w:jc w:val="both"/>
        <w:rPr>
          <w:rFonts w:eastAsia="Calibri"/>
          <w:b/>
          <w:bCs/>
          <w:color w:val="4F81BD"/>
          <w:sz w:val="20"/>
          <w:szCs w:val="18"/>
        </w:rPr>
      </w:pPr>
      <w:bookmarkStart w:id="183" w:name="_Toc230006810"/>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14</w:t>
      </w:r>
      <w:r w:rsidRPr="00A03F2C">
        <w:rPr>
          <w:rFonts w:eastAsia="Calibri"/>
          <w:b/>
          <w:bCs/>
          <w:color w:val="4F81BD"/>
          <w:sz w:val="20"/>
          <w:szCs w:val="18"/>
        </w:rPr>
        <w:fldChar w:fldCharType="end"/>
      </w:r>
      <w:r w:rsidRPr="00A03F2C">
        <w:rPr>
          <w:rFonts w:eastAsia="Calibri"/>
          <w:b/>
          <w:bCs/>
          <w:color w:val="4F81BD"/>
          <w:sz w:val="20"/>
          <w:szCs w:val="18"/>
        </w:rPr>
        <w:t>: Počet účastníků a penetrace DPS na konci roku 2028 dle průměrného tempa růstu počtu účastníků ve věku 18 až 29 let s evidovaným příspěvkem v letech 2027 a 2028</w:t>
      </w:r>
      <w:bookmarkEnd w:id="183"/>
      <w:r w:rsidRPr="00A03F2C">
        <w:rPr>
          <w:rFonts w:eastAsia="Calibri"/>
          <w:b/>
          <w:bCs/>
          <w:color w:val="4F81BD"/>
          <w:sz w:val="20"/>
          <w:szCs w:val="18"/>
        </w:rPr>
        <w:t xml:space="preserve"> </w:t>
      </w:r>
    </w:p>
    <w:tbl>
      <w:tblPr>
        <w:tblStyle w:val="Mkatabulky3"/>
        <w:tblW w:w="9072" w:type="dxa"/>
        <w:jc w:val="center"/>
        <w:tblLayout w:type="fixed"/>
        <w:tblLook w:val="04A0" w:firstRow="1" w:lastRow="0" w:firstColumn="1" w:lastColumn="0" w:noHBand="0" w:noVBand="1"/>
      </w:tblPr>
      <w:tblGrid>
        <w:gridCol w:w="2324"/>
        <w:gridCol w:w="964"/>
        <w:gridCol w:w="964"/>
        <w:gridCol w:w="964"/>
        <w:gridCol w:w="964"/>
        <w:gridCol w:w="964"/>
        <w:gridCol w:w="964"/>
        <w:gridCol w:w="964"/>
      </w:tblGrid>
      <w:tr w:rsidR="00A03F2C" w:rsidRPr="00A03F2C" w14:paraId="35F1C044" w14:textId="77777777" w:rsidTr="00A03F2C">
        <w:trPr>
          <w:jc w:val="center"/>
        </w:trPr>
        <w:tc>
          <w:tcPr>
            <w:tcW w:w="2324" w:type="dxa"/>
            <w:vMerge w:val="restart"/>
            <w:shd w:val="clear" w:color="auto" w:fill="C6D9F1"/>
          </w:tcPr>
          <w:p w14:paraId="53E3870D" w14:textId="77777777" w:rsidR="00A03F2C" w:rsidRPr="00A03F2C" w:rsidRDefault="00A03F2C" w:rsidP="00A03F2C">
            <w:pPr>
              <w:spacing w:before="20" w:after="20"/>
              <w:jc w:val="both"/>
            </w:pPr>
          </w:p>
        </w:tc>
        <w:tc>
          <w:tcPr>
            <w:tcW w:w="6748" w:type="dxa"/>
            <w:gridSpan w:val="7"/>
            <w:shd w:val="clear" w:color="auto" w:fill="C6D9F1"/>
          </w:tcPr>
          <w:p w14:paraId="5AC0EA84" w14:textId="77777777" w:rsidR="00A03F2C" w:rsidRPr="00A03F2C" w:rsidRDefault="00A03F2C" w:rsidP="00A03F2C">
            <w:pPr>
              <w:spacing w:before="20" w:after="20"/>
              <w:jc w:val="center"/>
              <w:rPr>
                <w:b/>
              </w:rPr>
            </w:pPr>
            <w:r w:rsidRPr="00A03F2C">
              <w:rPr>
                <w:b/>
              </w:rPr>
              <w:t>Mezičtvrtletní tempo růstu počtu účastníků ve věku 18 až 29 let</w:t>
            </w:r>
          </w:p>
        </w:tc>
      </w:tr>
      <w:tr w:rsidR="00A03F2C" w:rsidRPr="00A03F2C" w14:paraId="4D985B74" w14:textId="77777777" w:rsidTr="00A03F2C">
        <w:trPr>
          <w:jc w:val="center"/>
        </w:trPr>
        <w:tc>
          <w:tcPr>
            <w:tcW w:w="2324" w:type="dxa"/>
            <w:vMerge/>
            <w:shd w:val="clear" w:color="auto" w:fill="C6D9F1"/>
          </w:tcPr>
          <w:p w14:paraId="1669C347" w14:textId="77777777" w:rsidR="00A03F2C" w:rsidRPr="00A03F2C" w:rsidRDefault="00A03F2C" w:rsidP="00A03F2C">
            <w:pPr>
              <w:spacing w:before="20" w:after="20"/>
              <w:jc w:val="both"/>
            </w:pPr>
          </w:p>
        </w:tc>
        <w:tc>
          <w:tcPr>
            <w:tcW w:w="964" w:type="dxa"/>
            <w:tcBorders>
              <w:bottom w:val="single" w:sz="4" w:space="0" w:color="auto"/>
            </w:tcBorders>
            <w:shd w:val="clear" w:color="auto" w:fill="C6D9F1"/>
          </w:tcPr>
          <w:p w14:paraId="727534B6" w14:textId="77777777" w:rsidR="00A03F2C" w:rsidRPr="00A03F2C" w:rsidRDefault="00A03F2C" w:rsidP="00A03F2C">
            <w:pPr>
              <w:spacing w:before="20" w:after="20"/>
              <w:jc w:val="center"/>
              <w:rPr>
                <w:b/>
              </w:rPr>
            </w:pPr>
            <w:r w:rsidRPr="00A03F2C">
              <w:rPr>
                <w:b/>
              </w:rPr>
              <w:t>1 %</w:t>
            </w:r>
          </w:p>
        </w:tc>
        <w:tc>
          <w:tcPr>
            <w:tcW w:w="964" w:type="dxa"/>
            <w:tcBorders>
              <w:bottom w:val="single" w:sz="4" w:space="0" w:color="auto"/>
            </w:tcBorders>
            <w:shd w:val="clear" w:color="auto" w:fill="C6D9F1"/>
            <w:vAlign w:val="center"/>
          </w:tcPr>
          <w:p w14:paraId="1574139F" w14:textId="77777777" w:rsidR="00A03F2C" w:rsidRPr="00A03F2C" w:rsidRDefault="00A03F2C" w:rsidP="00A03F2C">
            <w:pPr>
              <w:spacing w:before="20" w:after="20"/>
              <w:jc w:val="center"/>
              <w:rPr>
                <w:b/>
              </w:rPr>
            </w:pPr>
            <w:r w:rsidRPr="00A03F2C">
              <w:rPr>
                <w:b/>
              </w:rPr>
              <w:t>2 %</w:t>
            </w:r>
          </w:p>
        </w:tc>
        <w:tc>
          <w:tcPr>
            <w:tcW w:w="964" w:type="dxa"/>
            <w:tcBorders>
              <w:bottom w:val="single" w:sz="4" w:space="0" w:color="auto"/>
            </w:tcBorders>
            <w:shd w:val="clear" w:color="auto" w:fill="C6D9F1"/>
            <w:vAlign w:val="center"/>
          </w:tcPr>
          <w:p w14:paraId="212164A6" w14:textId="77777777" w:rsidR="00A03F2C" w:rsidRPr="00A03F2C" w:rsidRDefault="00A03F2C" w:rsidP="00A03F2C">
            <w:pPr>
              <w:spacing w:before="20" w:after="20"/>
              <w:jc w:val="center"/>
              <w:rPr>
                <w:b/>
              </w:rPr>
            </w:pPr>
            <w:r w:rsidRPr="00A03F2C">
              <w:rPr>
                <w:b/>
              </w:rPr>
              <w:t>4 %</w:t>
            </w:r>
          </w:p>
        </w:tc>
        <w:tc>
          <w:tcPr>
            <w:tcW w:w="964" w:type="dxa"/>
            <w:tcBorders>
              <w:bottom w:val="single" w:sz="4" w:space="0" w:color="auto"/>
            </w:tcBorders>
            <w:shd w:val="clear" w:color="auto" w:fill="C6D9F1"/>
            <w:vAlign w:val="center"/>
          </w:tcPr>
          <w:p w14:paraId="191EFC63" w14:textId="77777777" w:rsidR="00A03F2C" w:rsidRPr="00A03F2C" w:rsidRDefault="00A03F2C" w:rsidP="00A03F2C">
            <w:pPr>
              <w:spacing w:before="20" w:after="20"/>
              <w:jc w:val="center"/>
              <w:rPr>
                <w:b/>
              </w:rPr>
            </w:pPr>
            <w:r w:rsidRPr="00A03F2C">
              <w:rPr>
                <w:b/>
              </w:rPr>
              <w:t xml:space="preserve">6 % </w:t>
            </w:r>
          </w:p>
        </w:tc>
        <w:tc>
          <w:tcPr>
            <w:tcW w:w="964" w:type="dxa"/>
            <w:tcBorders>
              <w:bottom w:val="single" w:sz="4" w:space="0" w:color="auto"/>
            </w:tcBorders>
            <w:shd w:val="clear" w:color="auto" w:fill="C6D9F1"/>
            <w:vAlign w:val="center"/>
          </w:tcPr>
          <w:p w14:paraId="54C531C3" w14:textId="77777777" w:rsidR="00A03F2C" w:rsidRPr="00A03F2C" w:rsidRDefault="00A03F2C" w:rsidP="00A03F2C">
            <w:pPr>
              <w:spacing w:before="20" w:after="20"/>
              <w:jc w:val="center"/>
              <w:rPr>
                <w:b/>
              </w:rPr>
            </w:pPr>
            <w:r w:rsidRPr="00A03F2C">
              <w:rPr>
                <w:b/>
              </w:rPr>
              <w:t>8 %</w:t>
            </w:r>
          </w:p>
        </w:tc>
        <w:tc>
          <w:tcPr>
            <w:tcW w:w="964" w:type="dxa"/>
            <w:tcBorders>
              <w:bottom w:val="single" w:sz="4" w:space="0" w:color="auto"/>
            </w:tcBorders>
            <w:shd w:val="clear" w:color="auto" w:fill="C6D9F1"/>
            <w:vAlign w:val="center"/>
          </w:tcPr>
          <w:p w14:paraId="2C12F0D7" w14:textId="77777777" w:rsidR="00A03F2C" w:rsidRPr="00A03F2C" w:rsidRDefault="00A03F2C" w:rsidP="00A03F2C">
            <w:pPr>
              <w:spacing w:before="20" w:after="20"/>
              <w:jc w:val="center"/>
              <w:rPr>
                <w:b/>
              </w:rPr>
            </w:pPr>
            <w:r w:rsidRPr="00A03F2C">
              <w:rPr>
                <w:b/>
              </w:rPr>
              <w:t>10 %</w:t>
            </w:r>
          </w:p>
        </w:tc>
        <w:tc>
          <w:tcPr>
            <w:tcW w:w="964" w:type="dxa"/>
            <w:tcBorders>
              <w:bottom w:val="single" w:sz="4" w:space="0" w:color="auto"/>
            </w:tcBorders>
            <w:shd w:val="clear" w:color="auto" w:fill="C6D9F1"/>
          </w:tcPr>
          <w:p w14:paraId="6DAE2A44" w14:textId="77777777" w:rsidR="00A03F2C" w:rsidRPr="00A03F2C" w:rsidRDefault="00A03F2C" w:rsidP="00A03F2C">
            <w:pPr>
              <w:spacing w:before="20" w:after="20"/>
              <w:jc w:val="center"/>
              <w:rPr>
                <w:b/>
              </w:rPr>
            </w:pPr>
            <w:r w:rsidRPr="00A03F2C">
              <w:rPr>
                <w:b/>
              </w:rPr>
              <w:t>12 %</w:t>
            </w:r>
          </w:p>
        </w:tc>
      </w:tr>
      <w:tr w:rsidR="00A03F2C" w:rsidRPr="00A03F2C" w14:paraId="34BCFAC0" w14:textId="77777777" w:rsidTr="00A03F2C">
        <w:trPr>
          <w:jc w:val="center"/>
        </w:trPr>
        <w:tc>
          <w:tcPr>
            <w:tcW w:w="2324" w:type="dxa"/>
            <w:shd w:val="clear" w:color="auto" w:fill="C6D9F1"/>
            <w:vAlign w:val="center"/>
          </w:tcPr>
          <w:p w14:paraId="68F94894" w14:textId="77777777" w:rsidR="00A03F2C" w:rsidRPr="00A03F2C" w:rsidRDefault="00A03F2C" w:rsidP="00A03F2C">
            <w:pPr>
              <w:spacing w:before="20" w:after="20"/>
              <w:jc w:val="center"/>
              <w:rPr>
                <w:b/>
              </w:rPr>
            </w:pPr>
            <w:r w:rsidRPr="00A03F2C">
              <w:rPr>
                <w:b/>
              </w:rPr>
              <w:t>Počet účastníků (tis.)</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E6254FF"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271,0</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D637E72"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293,2</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CF6C403"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342,4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1CA96CF"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398,8</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4408565F"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463,1</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EE645D1"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536,4</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33112B75" w14:textId="77777777" w:rsidR="00A03F2C" w:rsidRPr="00A03F2C" w:rsidRDefault="00A03F2C" w:rsidP="00A03F2C">
            <w:pPr>
              <w:suppressAutoHyphens w:val="0"/>
              <w:spacing w:after="0" w:line="240" w:lineRule="auto"/>
              <w:jc w:val="center"/>
              <w:rPr>
                <w:rFonts w:cs="Calibri"/>
                <w:color w:val="000000"/>
              </w:rPr>
            </w:pPr>
            <w:r w:rsidRPr="00A03F2C">
              <w:rPr>
                <w:rFonts w:cs="Calibri"/>
                <w:color w:val="000000"/>
              </w:rPr>
              <w:t>619,5</w:t>
            </w:r>
          </w:p>
        </w:tc>
      </w:tr>
      <w:tr w:rsidR="00A03F2C" w:rsidRPr="00A03F2C" w14:paraId="7C6DF2E1" w14:textId="77777777" w:rsidTr="00A03F2C">
        <w:trPr>
          <w:jc w:val="center"/>
        </w:trPr>
        <w:tc>
          <w:tcPr>
            <w:tcW w:w="2324" w:type="dxa"/>
            <w:shd w:val="clear" w:color="auto" w:fill="C6D9F1"/>
          </w:tcPr>
          <w:p w14:paraId="50EC6A05" w14:textId="77777777" w:rsidR="00A03F2C" w:rsidRPr="00A03F2C" w:rsidRDefault="00A03F2C" w:rsidP="00A03F2C">
            <w:pPr>
              <w:spacing w:before="20" w:after="20"/>
              <w:jc w:val="center"/>
              <w:rPr>
                <w:b/>
              </w:rPr>
            </w:pPr>
            <w:r w:rsidRPr="00A03F2C">
              <w:rPr>
                <w:b/>
              </w:rPr>
              <w:t>Penetrace</w:t>
            </w:r>
          </w:p>
        </w:tc>
        <w:tc>
          <w:tcPr>
            <w:tcW w:w="964" w:type="dxa"/>
            <w:tcBorders>
              <w:top w:val="single" w:sz="4" w:space="0" w:color="auto"/>
              <w:left w:val="nil"/>
              <w:bottom w:val="single" w:sz="4" w:space="0" w:color="auto"/>
              <w:right w:val="single" w:sz="4" w:space="0" w:color="auto"/>
            </w:tcBorders>
            <w:shd w:val="clear" w:color="auto" w:fill="auto"/>
            <w:vAlign w:val="center"/>
          </w:tcPr>
          <w:p w14:paraId="18AC2C98"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19,8 %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2037707A"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21,4 %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09E2C713"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25,0 %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BFBD3B5"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29,1 %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66F59C3F"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33,8 %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77780063"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39,2 %</w:t>
            </w:r>
          </w:p>
        </w:tc>
        <w:tc>
          <w:tcPr>
            <w:tcW w:w="964" w:type="dxa"/>
            <w:tcBorders>
              <w:top w:val="single" w:sz="4" w:space="0" w:color="auto"/>
              <w:left w:val="single" w:sz="4" w:space="0" w:color="auto"/>
              <w:bottom w:val="single" w:sz="4" w:space="0" w:color="auto"/>
              <w:right w:val="single" w:sz="4" w:space="0" w:color="auto"/>
            </w:tcBorders>
            <w:shd w:val="clear" w:color="auto" w:fill="auto"/>
            <w:vAlign w:val="center"/>
          </w:tcPr>
          <w:p w14:paraId="51B3DE8F" w14:textId="77777777" w:rsidR="00A03F2C" w:rsidRPr="00A03F2C" w:rsidRDefault="00A03F2C" w:rsidP="00A03F2C">
            <w:pPr>
              <w:suppressAutoHyphens w:val="0"/>
              <w:spacing w:after="0" w:line="240" w:lineRule="auto"/>
              <w:jc w:val="right"/>
              <w:rPr>
                <w:rFonts w:cs="Calibri"/>
                <w:color w:val="000000"/>
              </w:rPr>
            </w:pPr>
            <w:r w:rsidRPr="00A03F2C">
              <w:rPr>
                <w:rFonts w:cs="Calibri"/>
                <w:color w:val="000000"/>
              </w:rPr>
              <w:t>45,2 %</w:t>
            </w:r>
          </w:p>
        </w:tc>
      </w:tr>
    </w:tbl>
    <w:p w14:paraId="210BA743" w14:textId="77777777" w:rsidR="00A03F2C" w:rsidRPr="00A03F2C" w:rsidRDefault="00A03F2C" w:rsidP="00A03F2C">
      <w:pPr>
        <w:spacing w:after="120"/>
        <w:ind w:left="6372"/>
        <w:jc w:val="right"/>
        <w:rPr>
          <w:rFonts w:eastAsia="Calibri"/>
          <w:sz w:val="18"/>
        </w:rPr>
      </w:pPr>
      <w:r w:rsidRPr="00A03F2C">
        <w:rPr>
          <w:rFonts w:eastAsia="Calibri"/>
          <w:sz w:val="18"/>
        </w:rPr>
        <w:t>Zdroj: MF, ČSÚ, výpočty</w:t>
      </w:r>
      <w:r w:rsidR="00F86511">
        <w:rPr>
          <w:rFonts w:eastAsia="Calibri"/>
          <w:sz w:val="18"/>
        </w:rPr>
        <w:t xml:space="preserve"> MF</w:t>
      </w:r>
    </w:p>
    <w:p w14:paraId="571C8330" w14:textId="77777777" w:rsidR="00A03F2C" w:rsidRPr="00A03F2C" w:rsidRDefault="00A03F2C" w:rsidP="00A03F2C">
      <w:pPr>
        <w:spacing w:after="120"/>
        <w:jc w:val="both"/>
        <w:rPr>
          <w:rFonts w:eastAsia="Calibri"/>
        </w:rPr>
      </w:pPr>
      <w:r w:rsidRPr="00A03F2C">
        <w:rPr>
          <w:rFonts w:eastAsia="Calibri"/>
        </w:rPr>
        <w:t xml:space="preserve">Pokud jde o výši penetrace DPS v případě účastníků ve věku 18 až 29 let ke konci roku 2028, nelze očekávat její nárůst nad svou historicky nejvyšší úroveň dosaženou za specifických podmínek reformy </w:t>
      </w:r>
      <w:r w:rsidR="00EC4F0F">
        <w:rPr>
          <w:rFonts w:eastAsia="Calibri"/>
        </w:rPr>
        <w:t>doplňkového penzijního systému</w:t>
      </w:r>
      <w:r w:rsidRPr="00A03F2C">
        <w:rPr>
          <w:rFonts w:eastAsia="Calibri"/>
        </w:rPr>
        <w:t xml:space="preserve"> v roce 2012, která činila 49 % a v případě účastníků s evidovaným příspěvkem 47 %. Nejvýše dosažitelná penetrace DPS u účastníků ve věku 18 až 29 let je tak i vzhledem k penetraci dosahované u starší</w:t>
      </w:r>
      <w:r w:rsidR="001A3925">
        <w:rPr>
          <w:rFonts w:eastAsia="Calibri"/>
        </w:rPr>
        <w:t>ch věkových kategorií účastníků (</w:t>
      </w:r>
      <w:r w:rsidR="001A3925" w:rsidRPr="009D2306">
        <w:rPr>
          <w:rFonts w:eastAsia="Calibri"/>
        </w:rPr>
        <w:t>viz tabulka 10</w:t>
      </w:r>
      <w:r w:rsidRPr="009D2306">
        <w:rPr>
          <w:rFonts w:eastAsia="Calibri"/>
        </w:rPr>
        <w:t>) odhadována</w:t>
      </w:r>
      <w:r w:rsidRPr="00A03F2C">
        <w:rPr>
          <w:rFonts w:eastAsia="Calibri"/>
        </w:rPr>
        <w:t xml:space="preserve"> na úrovni 45 %, což znamená více než zdvojnásobení současné výše penetrace DPS, která by se jinak při zachování současného stavu ve variantě 0 ke konci roku 2028 nijak výrazněji nezměnila. V rámci horní meze penetrace DPS a za předpokladu zvýšení mezičtvrtletního tempa růstu počtu účastníků ve věku 18 až 29 let alespoň na hodnotu kolem 5 % lze odhadovat, že dodatečné výdaje státního rozpočtu v roce 2028 by se ve variantě 1 mohly pohybovat v intervalu 0,2 až 0,5 mld. Kč a ve variantě 2 v rozpětí 0,6 až 1,0 mld. Kč. Současně lze očekávat, že ve variantě 2 by došlo k vyššímu nárůstu počtu účastníků DPS ve věku 18 až 29 let než ve variantě 1. Míru rozdílu v růstu počtu účastníků mezi těmito variantami však nelze přesně určit.</w:t>
      </w:r>
    </w:p>
    <w:p w14:paraId="7BE1BE12" w14:textId="77777777" w:rsidR="00A03F2C" w:rsidRPr="00A03F2C" w:rsidRDefault="00A03F2C" w:rsidP="00A03F2C">
      <w:pPr>
        <w:spacing w:before="80" w:after="120"/>
        <w:jc w:val="both"/>
        <w:rPr>
          <w:rFonts w:eastAsia="Calibri"/>
          <w:b/>
        </w:rPr>
      </w:pPr>
      <w:r w:rsidRPr="00A03F2C">
        <w:rPr>
          <w:rFonts w:eastAsia="Calibri"/>
          <w:b/>
        </w:rPr>
        <w:t>Celkové navýšení výdajů státního rozpočtu na státní příspěvek</w:t>
      </w:r>
    </w:p>
    <w:p w14:paraId="1E45BF7D" w14:textId="77777777" w:rsidR="00A03F2C" w:rsidRPr="00A03F2C" w:rsidRDefault="00A03F2C" w:rsidP="00A03F2C">
      <w:pPr>
        <w:spacing w:after="120"/>
        <w:jc w:val="both"/>
        <w:rPr>
          <w:rFonts w:eastAsia="Calibri"/>
        </w:rPr>
      </w:pPr>
      <w:r w:rsidRPr="00A03F2C">
        <w:rPr>
          <w:rFonts w:eastAsia="Calibri"/>
        </w:rPr>
        <w:t xml:space="preserve">Celkové odhadované navýšení výdajů státního rozpočtu na státní příspěvek v důsledku poskytování procentuálně vyššího státního příspěvku nezletilým a mladým dospělým účastníkům ve variantách 1 a 2 ve srovnání s variantou 0 uvádí </w:t>
      </w:r>
      <w:r w:rsidRPr="009D2306">
        <w:rPr>
          <w:rFonts w:eastAsia="Calibri"/>
        </w:rPr>
        <w:t xml:space="preserve">tabulka </w:t>
      </w:r>
      <w:r w:rsidR="00BA7E70" w:rsidRPr="009D2306">
        <w:rPr>
          <w:rFonts w:eastAsia="Calibri"/>
        </w:rPr>
        <w:t>15</w:t>
      </w:r>
      <w:r w:rsidRPr="009D2306">
        <w:rPr>
          <w:rFonts w:eastAsia="Calibri"/>
        </w:rPr>
        <w:t>.</w:t>
      </w:r>
      <w:r w:rsidRPr="00A03F2C">
        <w:rPr>
          <w:rFonts w:eastAsia="Calibri"/>
        </w:rPr>
        <w:t xml:space="preserve"> Vzhledem k vyššímu motivačnímu charakteru varianty 2 lze očekávat, že výdaj státního rozpočtu se bude spíše blížit horní hranici intervalu příslušejícímu této variantě, zatímco v případě varianty 1 je možné spíše očekávat výši výdaje státního rozpočtu blížící se dolní hranici intervalu uvedeného u této varianty.</w:t>
      </w:r>
    </w:p>
    <w:p w14:paraId="74CFD721" w14:textId="77777777" w:rsidR="00A03F2C" w:rsidRPr="00A03F2C" w:rsidRDefault="00A03F2C" w:rsidP="00A03F2C">
      <w:pPr>
        <w:keepNext/>
        <w:spacing w:before="80" w:after="120"/>
        <w:jc w:val="both"/>
        <w:rPr>
          <w:rFonts w:eastAsia="Calibri"/>
          <w:b/>
          <w:bCs/>
          <w:color w:val="4F81BD"/>
          <w:sz w:val="20"/>
          <w:szCs w:val="18"/>
        </w:rPr>
      </w:pPr>
      <w:bookmarkStart w:id="184" w:name="_Toc230006811"/>
      <w:r w:rsidRPr="00A03F2C">
        <w:rPr>
          <w:rFonts w:eastAsia="Calibri"/>
          <w:b/>
          <w:bCs/>
          <w:color w:val="4F81BD"/>
          <w:sz w:val="20"/>
          <w:szCs w:val="18"/>
        </w:rPr>
        <w:lastRenderedPageBreak/>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9D2306">
        <w:rPr>
          <w:rFonts w:eastAsia="Calibri"/>
          <w:b/>
          <w:bCs/>
          <w:noProof/>
          <w:color w:val="4F81BD"/>
          <w:sz w:val="20"/>
          <w:szCs w:val="18"/>
        </w:rPr>
        <w:t>15</w:t>
      </w:r>
      <w:r w:rsidRPr="00A03F2C">
        <w:rPr>
          <w:rFonts w:eastAsia="Calibri"/>
          <w:b/>
          <w:bCs/>
          <w:color w:val="4F81BD"/>
          <w:sz w:val="20"/>
          <w:szCs w:val="18"/>
        </w:rPr>
        <w:fldChar w:fldCharType="end"/>
      </w:r>
      <w:r w:rsidRPr="00A03F2C">
        <w:rPr>
          <w:rFonts w:eastAsia="Calibri"/>
          <w:b/>
          <w:bCs/>
          <w:color w:val="4F81BD"/>
          <w:sz w:val="20"/>
          <w:szCs w:val="18"/>
        </w:rPr>
        <w:t>: Celkové odhadované navýšení výdajů státního rozpočtu</w:t>
      </w:r>
      <w:bookmarkEnd w:id="184"/>
    </w:p>
    <w:tbl>
      <w:tblPr>
        <w:tblStyle w:val="Mkatabulky3"/>
        <w:tblW w:w="9070" w:type="dxa"/>
        <w:tblLook w:val="04A0" w:firstRow="1" w:lastRow="0" w:firstColumn="1" w:lastColumn="0" w:noHBand="0" w:noVBand="1"/>
      </w:tblPr>
      <w:tblGrid>
        <w:gridCol w:w="1814"/>
        <w:gridCol w:w="2778"/>
        <w:gridCol w:w="2891"/>
        <w:gridCol w:w="1587"/>
      </w:tblGrid>
      <w:tr w:rsidR="00A03F2C" w:rsidRPr="00A03F2C" w14:paraId="3724439C" w14:textId="77777777" w:rsidTr="00A03F2C">
        <w:tc>
          <w:tcPr>
            <w:tcW w:w="1814" w:type="dxa"/>
            <w:shd w:val="clear" w:color="auto" w:fill="C6D9F1"/>
          </w:tcPr>
          <w:p w14:paraId="647CFA15" w14:textId="77777777" w:rsidR="00A03F2C" w:rsidRPr="00A03F2C" w:rsidRDefault="00A03F2C" w:rsidP="00A03F2C">
            <w:pPr>
              <w:keepNext/>
              <w:spacing w:before="20" w:after="20"/>
              <w:jc w:val="both"/>
            </w:pPr>
            <w:r w:rsidRPr="00A03F2C">
              <w:t>v mld. Kč</w:t>
            </w:r>
          </w:p>
        </w:tc>
        <w:tc>
          <w:tcPr>
            <w:tcW w:w="2778" w:type="dxa"/>
            <w:shd w:val="clear" w:color="auto" w:fill="C6D9F1"/>
            <w:vAlign w:val="center"/>
          </w:tcPr>
          <w:p w14:paraId="2992E374" w14:textId="77777777" w:rsidR="00A03F2C" w:rsidRPr="00A03F2C" w:rsidRDefault="00A03F2C" w:rsidP="00A03F2C">
            <w:pPr>
              <w:keepNext/>
              <w:spacing w:before="20" w:after="20"/>
              <w:jc w:val="center"/>
              <w:rPr>
                <w:b/>
              </w:rPr>
            </w:pPr>
            <w:r w:rsidRPr="00A03F2C">
              <w:rPr>
                <w:b/>
              </w:rPr>
              <w:t>Účastníci ve věku 0 až 17 let</w:t>
            </w:r>
          </w:p>
        </w:tc>
        <w:tc>
          <w:tcPr>
            <w:tcW w:w="2891" w:type="dxa"/>
            <w:shd w:val="clear" w:color="auto" w:fill="C6D9F1"/>
            <w:vAlign w:val="center"/>
          </w:tcPr>
          <w:p w14:paraId="032C9B3B" w14:textId="77777777" w:rsidR="00A03F2C" w:rsidRPr="00A03F2C" w:rsidRDefault="00A03F2C" w:rsidP="00A03F2C">
            <w:pPr>
              <w:keepNext/>
              <w:spacing w:before="20" w:after="20"/>
              <w:jc w:val="center"/>
              <w:rPr>
                <w:b/>
              </w:rPr>
            </w:pPr>
            <w:r w:rsidRPr="00A03F2C">
              <w:rPr>
                <w:b/>
              </w:rPr>
              <w:t>Účastníci ve věku 18 až 29 let</w:t>
            </w:r>
          </w:p>
        </w:tc>
        <w:tc>
          <w:tcPr>
            <w:tcW w:w="1587" w:type="dxa"/>
            <w:shd w:val="clear" w:color="auto" w:fill="C6D9F1"/>
            <w:vAlign w:val="center"/>
          </w:tcPr>
          <w:p w14:paraId="614BE1DA" w14:textId="77777777" w:rsidR="00A03F2C" w:rsidRPr="00A03F2C" w:rsidRDefault="00A03F2C" w:rsidP="00A03F2C">
            <w:pPr>
              <w:keepNext/>
              <w:spacing w:before="20" w:after="20"/>
              <w:jc w:val="center"/>
              <w:rPr>
                <w:b/>
              </w:rPr>
            </w:pPr>
            <w:r w:rsidRPr="00A03F2C">
              <w:rPr>
                <w:b/>
              </w:rPr>
              <w:t>Celkem</w:t>
            </w:r>
          </w:p>
        </w:tc>
      </w:tr>
      <w:tr w:rsidR="00A03F2C" w:rsidRPr="00A03F2C" w14:paraId="18CF76A8" w14:textId="77777777" w:rsidTr="00A03F2C">
        <w:tc>
          <w:tcPr>
            <w:tcW w:w="1814" w:type="dxa"/>
            <w:vAlign w:val="center"/>
          </w:tcPr>
          <w:p w14:paraId="0542993B" w14:textId="77777777" w:rsidR="00A03F2C" w:rsidRPr="00A03F2C" w:rsidRDefault="00A03F2C" w:rsidP="00A03F2C">
            <w:pPr>
              <w:keepNext/>
              <w:spacing w:before="20" w:after="20"/>
            </w:pPr>
            <w:r w:rsidRPr="00A03F2C">
              <w:t>Varianta 1 (25 %)</w:t>
            </w:r>
          </w:p>
        </w:tc>
        <w:tc>
          <w:tcPr>
            <w:tcW w:w="2778" w:type="dxa"/>
            <w:vAlign w:val="center"/>
          </w:tcPr>
          <w:p w14:paraId="66FD32F0" w14:textId="77777777" w:rsidR="00A03F2C" w:rsidRPr="00A03F2C" w:rsidRDefault="00A03F2C" w:rsidP="00A03F2C">
            <w:pPr>
              <w:keepNext/>
              <w:spacing w:before="20" w:after="20"/>
              <w:jc w:val="center"/>
            </w:pPr>
            <w:r w:rsidRPr="00A03F2C">
              <w:t>0,2 – 0,3</w:t>
            </w:r>
          </w:p>
        </w:tc>
        <w:tc>
          <w:tcPr>
            <w:tcW w:w="2891" w:type="dxa"/>
            <w:vAlign w:val="center"/>
          </w:tcPr>
          <w:p w14:paraId="1A981E78" w14:textId="77777777" w:rsidR="00A03F2C" w:rsidRPr="00A03F2C" w:rsidRDefault="00A03F2C" w:rsidP="00A03F2C">
            <w:pPr>
              <w:keepNext/>
              <w:spacing w:before="20" w:after="20"/>
              <w:jc w:val="center"/>
            </w:pPr>
            <w:r w:rsidRPr="00A03F2C">
              <w:t>0,2 – 0,5</w:t>
            </w:r>
          </w:p>
        </w:tc>
        <w:tc>
          <w:tcPr>
            <w:tcW w:w="1587" w:type="dxa"/>
            <w:vAlign w:val="center"/>
          </w:tcPr>
          <w:p w14:paraId="58D5B00B" w14:textId="77777777" w:rsidR="00A03F2C" w:rsidRPr="00A03F2C" w:rsidRDefault="00A03F2C" w:rsidP="00A03F2C">
            <w:pPr>
              <w:keepNext/>
              <w:spacing w:before="20" w:after="20"/>
              <w:jc w:val="center"/>
            </w:pPr>
            <w:r w:rsidRPr="00A03F2C">
              <w:t>0,4 – 0,8</w:t>
            </w:r>
          </w:p>
        </w:tc>
      </w:tr>
      <w:tr w:rsidR="00A03F2C" w:rsidRPr="00A03F2C" w14:paraId="41556E9C" w14:textId="77777777" w:rsidTr="00A03F2C">
        <w:tc>
          <w:tcPr>
            <w:tcW w:w="1814" w:type="dxa"/>
            <w:vAlign w:val="center"/>
          </w:tcPr>
          <w:p w14:paraId="6A07CAA5" w14:textId="77777777" w:rsidR="00A03F2C" w:rsidRPr="00A03F2C" w:rsidRDefault="00A03F2C" w:rsidP="00A03F2C">
            <w:pPr>
              <w:keepNext/>
              <w:spacing w:before="20" w:after="20"/>
            </w:pPr>
            <w:r w:rsidRPr="00A03F2C">
              <w:t>Varianta 2 (40 %)</w:t>
            </w:r>
          </w:p>
        </w:tc>
        <w:tc>
          <w:tcPr>
            <w:tcW w:w="2778" w:type="dxa"/>
            <w:vAlign w:val="center"/>
          </w:tcPr>
          <w:p w14:paraId="47F5FDF3" w14:textId="77777777" w:rsidR="00A03F2C" w:rsidRPr="00A03F2C" w:rsidRDefault="00A03F2C" w:rsidP="00A03F2C">
            <w:pPr>
              <w:keepNext/>
              <w:spacing w:before="20" w:after="20"/>
              <w:jc w:val="center"/>
            </w:pPr>
            <w:r w:rsidRPr="00A03F2C">
              <w:t>0,5 – 0,6</w:t>
            </w:r>
          </w:p>
        </w:tc>
        <w:tc>
          <w:tcPr>
            <w:tcW w:w="2891" w:type="dxa"/>
            <w:vAlign w:val="center"/>
          </w:tcPr>
          <w:p w14:paraId="431C1D3B" w14:textId="77777777" w:rsidR="00A03F2C" w:rsidRPr="00A03F2C" w:rsidRDefault="00A03F2C" w:rsidP="00A03F2C">
            <w:pPr>
              <w:keepNext/>
              <w:spacing w:before="20" w:after="20"/>
              <w:jc w:val="center"/>
            </w:pPr>
            <w:r w:rsidRPr="00A03F2C">
              <w:t>0,6 – 1,0</w:t>
            </w:r>
          </w:p>
        </w:tc>
        <w:tc>
          <w:tcPr>
            <w:tcW w:w="1587" w:type="dxa"/>
            <w:vAlign w:val="center"/>
          </w:tcPr>
          <w:p w14:paraId="289A44FD" w14:textId="77777777" w:rsidR="00A03F2C" w:rsidRPr="00A03F2C" w:rsidRDefault="00A03F2C" w:rsidP="00A03F2C">
            <w:pPr>
              <w:keepNext/>
              <w:spacing w:before="20" w:after="20"/>
              <w:jc w:val="center"/>
            </w:pPr>
            <w:r w:rsidRPr="00A03F2C">
              <w:t>1,1 – 1,6</w:t>
            </w:r>
          </w:p>
        </w:tc>
      </w:tr>
    </w:tbl>
    <w:p w14:paraId="05812234" w14:textId="77777777" w:rsidR="00A03F2C" w:rsidRPr="00A03F2C" w:rsidRDefault="00A03F2C" w:rsidP="00A03F2C">
      <w:pPr>
        <w:spacing w:before="240" w:after="120"/>
        <w:jc w:val="both"/>
        <w:rPr>
          <w:rFonts w:eastAsia="Calibri"/>
        </w:rPr>
      </w:pPr>
      <w:r w:rsidRPr="00A03F2C">
        <w:rPr>
          <w:rFonts w:eastAsia="Calibri"/>
        </w:rPr>
        <w:t xml:space="preserve">Z pohledu propagace nového opatření jak ze strany státu, tak penzijních společností se zdá být varianta 2 jako více uplatnitelná v tom smyslu, že je možné v rámci komunikace vůči účastníkům zdůraznit atraktivní zdvojnásobení výše státního příspěvku. V případě varianty 1 může být zvýšení procentuální výše státního příspěvku o 5 p. b. hůře komunikovatelné a méně srozumitelné. </w:t>
      </w:r>
    </w:p>
    <w:p w14:paraId="4609DBF6" w14:textId="77777777" w:rsidR="00A03F2C" w:rsidRPr="00A03F2C" w:rsidRDefault="00A03F2C" w:rsidP="00B8277D">
      <w:pPr>
        <w:spacing w:before="80" w:after="120" w:line="259" w:lineRule="auto"/>
        <w:jc w:val="both"/>
        <w:rPr>
          <w:rFonts w:eastAsia="Calibri"/>
          <w:b/>
          <w:bCs/>
          <w:color w:val="4F81BD"/>
          <w:sz w:val="20"/>
          <w:szCs w:val="18"/>
        </w:rPr>
      </w:pPr>
      <w:bookmarkStart w:id="185" w:name="_Toc230006812"/>
      <w:r w:rsidRPr="00A03F2C">
        <w:rPr>
          <w:rFonts w:eastAsia="Calibri"/>
          <w:b/>
          <w:bCs/>
          <w:color w:val="4F81BD"/>
          <w:sz w:val="20"/>
          <w:szCs w:val="18"/>
        </w:rPr>
        <w:t xml:space="preserve">Tabulka </w:t>
      </w:r>
      <w:r w:rsidRPr="00A03F2C">
        <w:rPr>
          <w:rFonts w:eastAsia="Calibri"/>
          <w:b/>
          <w:bCs/>
          <w:color w:val="4F81BD"/>
          <w:sz w:val="20"/>
          <w:szCs w:val="18"/>
        </w:rPr>
        <w:fldChar w:fldCharType="begin"/>
      </w:r>
      <w:r w:rsidRPr="00A03F2C">
        <w:rPr>
          <w:rFonts w:eastAsia="Calibri"/>
          <w:b/>
          <w:bCs/>
          <w:color w:val="4F81BD"/>
          <w:sz w:val="20"/>
          <w:szCs w:val="18"/>
        </w:rPr>
        <w:instrText xml:space="preserve"> SEQ Tabulka \* ARABIC </w:instrText>
      </w:r>
      <w:r w:rsidRPr="00A03F2C">
        <w:rPr>
          <w:rFonts w:eastAsia="Calibri"/>
          <w:b/>
          <w:bCs/>
          <w:color w:val="4F81BD"/>
          <w:sz w:val="20"/>
          <w:szCs w:val="18"/>
        </w:rPr>
        <w:fldChar w:fldCharType="separate"/>
      </w:r>
      <w:r w:rsidR="00462FDD">
        <w:rPr>
          <w:rFonts w:eastAsia="Calibri"/>
          <w:b/>
          <w:bCs/>
          <w:noProof/>
          <w:color w:val="4F81BD"/>
          <w:sz w:val="20"/>
          <w:szCs w:val="18"/>
        </w:rPr>
        <w:t>16</w:t>
      </w:r>
      <w:r w:rsidRPr="00A03F2C">
        <w:rPr>
          <w:rFonts w:eastAsia="Calibri"/>
          <w:b/>
          <w:bCs/>
          <w:color w:val="4F81BD"/>
          <w:sz w:val="20"/>
          <w:szCs w:val="18"/>
        </w:rPr>
        <w:fldChar w:fldCharType="end"/>
      </w:r>
      <w:r w:rsidRPr="00A03F2C">
        <w:rPr>
          <w:rFonts w:eastAsia="Calibri"/>
          <w:b/>
          <w:bCs/>
          <w:color w:val="4F81BD"/>
          <w:sz w:val="20"/>
          <w:szCs w:val="18"/>
        </w:rPr>
        <w:t>: Vyhodnocení dopadů uvažovaných variant řešení poskytování procentuálně vyššího státního příspěvku mladým dospělým účastníkům</w:t>
      </w:r>
      <w:bookmarkEnd w:id="185"/>
    </w:p>
    <w:tbl>
      <w:tblPr>
        <w:tblpPr w:leftFromText="141" w:rightFromText="141" w:vertAnchor="text" w:tblpXSpec="center" w:tblpY="1"/>
        <w:tblOverlap w:val="never"/>
        <w:tblW w:w="907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A0" w:firstRow="1" w:lastRow="0" w:firstColumn="1" w:lastColumn="0" w:noHBand="1" w:noVBand="1"/>
      </w:tblPr>
      <w:tblGrid>
        <w:gridCol w:w="6520"/>
        <w:gridCol w:w="850"/>
        <w:gridCol w:w="850"/>
        <w:gridCol w:w="851"/>
      </w:tblGrid>
      <w:tr w:rsidR="00A03F2C" w:rsidRPr="00A03F2C" w14:paraId="4130EF2C" w14:textId="77777777" w:rsidTr="00A03F2C">
        <w:trPr>
          <w:cantSplit/>
          <w:trHeight w:val="283"/>
        </w:trPr>
        <w:tc>
          <w:tcPr>
            <w:tcW w:w="6520" w:type="dxa"/>
            <w:vMerge w:val="restart"/>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0348599E" w14:textId="77777777" w:rsidR="00A03F2C" w:rsidRPr="00A03F2C" w:rsidRDefault="00A03F2C" w:rsidP="00A03F2C">
            <w:pPr>
              <w:keepNext/>
              <w:keepLines/>
              <w:spacing w:after="0" w:line="240" w:lineRule="auto"/>
              <w:rPr>
                <w:rFonts w:eastAsia="Times New Roman"/>
                <w:b/>
                <w:bCs/>
                <w:lang w:eastAsia="cs-CZ"/>
              </w:rPr>
            </w:pPr>
            <w:r w:rsidRPr="00A03F2C">
              <w:rPr>
                <w:rFonts w:eastAsia="Times New Roman"/>
                <w:b/>
                <w:bCs/>
                <w:lang w:eastAsia="cs-CZ"/>
              </w:rPr>
              <w:t>Dopady</w:t>
            </w:r>
          </w:p>
        </w:tc>
        <w:tc>
          <w:tcPr>
            <w:tcW w:w="2551" w:type="dxa"/>
            <w:gridSpan w:val="3"/>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09A2AF6F"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Varianty</w:t>
            </w:r>
          </w:p>
        </w:tc>
      </w:tr>
      <w:tr w:rsidR="00A03F2C" w:rsidRPr="00A03F2C" w14:paraId="15B5CB20" w14:textId="77777777" w:rsidTr="00A03F2C">
        <w:trPr>
          <w:cantSplit/>
          <w:trHeight w:val="283"/>
        </w:trPr>
        <w:tc>
          <w:tcPr>
            <w:tcW w:w="6520" w:type="dxa"/>
            <w:vMerge/>
            <w:tcBorders>
              <w:top w:val="single" w:sz="8" w:space="0" w:color="000000"/>
              <w:left w:val="single" w:sz="8" w:space="0" w:color="000000"/>
              <w:bottom w:val="single" w:sz="8" w:space="0" w:color="000000"/>
              <w:right w:val="single" w:sz="8" w:space="0" w:color="000000"/>
            </w:tcBorders>
            <w:vAlign w:val="center"/>
            <w:hideMark/>
          </w:tcPr>
          <w:p w14:paraId="0D543E26" w14:textId="77777777" w:rsidR="00A03F2C" w:rsidRPr="00A03F2C" w:rsidRDefault="00A03F2C" w:rsidP="00A03F2C">
            <w:pPr>
              <w:suppressAutoHyphens w:val="0"/>
              <w:spacing w:after="0" w:line="240" w:lineRule="auto"/>
              <w:rPr>
                <w:rFonts w:eastAsia="Times New Roman"/>
                <w:b/>
                <w:bCs/>
                <w:lang w:eastAsia="cs-CZ"/>
              </w:rPr>
            </w:pP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73E0F3D2"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0</w:t>
            </w:r>
          </w:p>
        </w:tc>
        <w:tc>
          <w:tcPr>
            <w:tcW w:w="850" w:type="dxa"/>
            <w:tcBorders>
              <w:top w:val="single" w:sz="8" w:space="0" w:color="000000"/>
              <w:left w:val="single" w:sz="8" w:space="0" w:color="000000"/>
              <w:bottom w:val="single" w:sz="8" w:space="0" w:color="000000"/>
              <w:right w:val="single" w:sz="8" w:space="0" w:color="000000"/>
            </w:tcBorders>
            <w:shd w:val="clear" w:color="auto" w:fill="C6D9F1"/>
            <w:vAlign w:val="center"/>
            <w:hideMark/>
          </w:tcPr>
          <w:p w14:paraId="17F6AC16"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1</w:t>
            </w:r>
          </w:p>
        </w:tc>
        <w:tc>
          <w:tcPr>
            <w:tcW w:w="851" w:type="dxa"/>
            <w:tcBorders>
              <w:top w:val="single" w:sz="8" w:space="0" w:color="000000"/>
              <w:left w:val="single" w:sz="8" w:space="0" w:color="000000"/>
              <w:bottom w:val="single" w:sz="8" w:space="0" w:color="000000"/>
              <w:right w:val="single" w:sz="8" w:space="0" w:color="000000"/>
            </w:tcBorders>
            <w:shd w:val="clear" w:color="auto" w:fill="C6D9F1"/>
          </w:tcPr>
          <w:p w14:paraId="6D3497F0" w14:textId="77777777" w:rsidR="00A03F2C" w:rsidRPr="00A03F2C" w:rsidRDefault="00A03F2C" w:rsidP="00A03F2C">
            <w:pPr>
              <w:keepNext/>
              <w:keepLines/>
              <w:spacing w:after="0" w:line="240" w:lineRule="auto"/>
              <w:jc w:val="center"/>
              <w:rPr>
                <w:rFonts w:eastAsia="Times New Roman"/>
                <w:b/>
                <w:bCs/>
              </w:rPr>
            </w:pPr>
            <w:r w:rsidRPr="00A03F2C">
              <w:rPr>
                <w:rFonts w:eastAsia="Times New Roman"/>
                <w:b/>
                <w:bCs/>
              </w:rPr>
              <w:t>2</w:t>
            </w:r>
          </w:p>
        </w:tc>
      </w:tr>
      <w:tr w:rsidR="00A03F2C" w:rsidRPr="00A03F2C" w14:paraId="5C38542D"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7A3E44B1"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Zatraktivnění DPS pro nové účastníky ve věku 0 až 29 let</w:t>
            </w:r>
          </w:p>
        </w:tc>
        <w:tc>
          <w:tcPr>
            <w:tcW w:w="850" w:type="dxa"/>
            <w:tcBorders>
              <w:top w:val="single" w:sz="8" w:space="0" w:color="000000"/>
              <w:left w:val="single" w:sz="8" w:space="0" w:color="000000"/>
              <w:bottom w:val="single" w:sz="8" w:space="0" w:color="000000"/>
              <w:right w:val="single" w:sz="8" w:space="0" w:color="000000"/>
            </w:tcBorders>
            <w:vAlign w:val="center"/>
          </w:tcPr>
          <w:p w14:paraId="41DE31BD"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0426E7D2"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639813B1" w14:textId="77777777" w:rsidR="00A03F2C" w:rsidRPr="00A03F2C" w:rsidRDefault="00A03F2C" w:rsidP="00A03F2C">
            <w:pPr>
              <w:keepNext/>
              <w:keepLines/>
              <w:spacing w:before="20" w:after="20" w:line="240" w:lineRule="auto"/>
              <w:jc w:val="center"/>
            </w:pPr>
            <w:r w:rsidRPr="00A03F2C">
              <w:t>++</w:t>
            </w:r>
          </w:p>
        </w:tc>
      </w:tr>
      <w:tr w:rsidR="00A03F2C" w:rsidRPr="00A03F2C" w14:paraId="33F424F2"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78022B3F" w14:textId="77777777" w:rsidR="00A03F2C" w:rsidRPr="00A03F2C" w:rsidRDefault="00A03F2C" w:rsidP="00A03F2C">
            <w:pPr>
              <w:keepNext/>
              <w:keepLines/>
              <w:spacing w:before="20" w:after="20" w:line="240" w:lineRule="auto"/>
              <w:rPr>
                <w:rFonts w:eastAsia="Times New Roman"/>
                <w:b/>
                <w:bCs/>
              </w:rPr>
            </w:pPr>
            <w:r w:rsidRPr="00A03F2C">
              <w:rPr>
                <w:rFonts w:eastAsia="Times New Roman"/>
                <w:bCs/>
              </w:rPr>
              <w:t>Zvýšení státního příspěvku stávajícím účastníkům ve věku 0 až 29 let</w:t>
            </w:r>
          </w:p>
        </w:tc>
        <w:tc>
          <w:tcPr>
            <w:tcW w:w="850" w:type="dxa"/>
            <w:tcBorders>
              <w:top w:val="single" w:sz="8" w:space="0" w:color="000000"/>
              <w:left w:val="single" w:sz="8" w:space="0" w:color="000000"/>
              <w:bottom w:val="single" w:sz="8" w:space="0" w:color="000000"/>
              <w:right w:val="single" w:sz="8" w:space="0" w:color="000000"/>
            </w:tcBorders>
            <w:vAlign w:val="center"/>
          </w:tcPr>
          <w:p w14:paraId="0641F51E"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2B6542A9"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66BB212A" w14:textId="77777777" w:rsidR="00A03F2C" w:rsidRPr="00A03F2C" w:rsidRDefault="00A03F2C" w:rsidP="00A03F2C">
            <w:pPr>
              <w:keepNext/>
              <w:keepLines/>
              <w:spacing w:before="20" w:after="20" w:line="240" w:lineRule="auto"/>
              <w:jc w:val="center"/>
            </w:pPr>
            <w:r w:rsidRPr="00A03F2C">
              <w:t>++</w:t>
            </w:r>
          </w:p>
        </w:tc>
      </w:tr>
      <w:tr w:rsidR="00A03F2C" w:rsidRPr="00A03F2C" w14:paraId="0495D099"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383A25D7"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 xml:space="preserve">Zvýšení výdajů státního rozpočtu </w:t>
            </w:r>
          </w:p>
        </w:tc>
        <w:tc>
          <w:tcPr>
            <w:tcW w:w="850" w:type="dxa"/>
            <w:tcBorders>
              <w:top w:val="single" w:sz="8" w:space="0" w:color="000000"/>
              <w:left w:val="single" w:sz="8" w:space="0" w:color="000000"/>
              <w:bottom w:val="single" w:sz="8" w:space="0" w:color="000000"/>
              <w:right w:val="single" w:sz="8" w:space="0" w:color="000000"/>
            </w:tcBorders>
            <w:vAlign w:val="center"/>
          </w:tcPr>
          <w:p w14:paraId="29CA7F5A"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588455CB"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67DC2C21" w14:textId="77777777" w:rsidR="00A03F2C" w:rsidRPr="00A03F2C" w:rsidRDefault="00A03F2C" w:rsidP="00A03F2C">
            <w:pPr>
              <w:keepNext/>
              <w:keepLines/>
              <w:spacing w:before="20" w:after="20" w:line="240" w:lineRule="auto"/>
              <w:jc w:val="center"/>
            </w:pPr>
            <w:r w:rsidRPr="00A03F2C">
              <w:t>--</w:t>
            </w:r>
          </w:p>
        </w:tc>
      </w:tr>
      <w:tr w:rsidR="00A03F2C" w:rsidRPr="00A03F2C" w14:paraId="5B0CB09F" w14:textId="77777777" w:rsidTr="00A03F2C">
        <w:trPr>
          <w:cantSplit/>
          <w:trHeight w:val="567"/>
        </w:trPr>
        <w:tc>
          <w:tcPr>
            <w:tcW w:w="6520" w:type="dxa"/>
            <w:tcBorders>
              <w:top w:val="single" w:sz="8" w:space="0" w:color="000000"/>
              <w:left w:val="single" w:sz="8" w:space="0" w:color="000000"/>
              <w:bottom w:val="single" w:sz="8" w:space="0" w:color="000000"/>
              <w:right w:val="single" w:sz="8" w:space="0" w:color="000000"/>
            </w:tcBorders>
            <w:vAlign w:val="center"/>
          </w:tcPr>
          <w:p w14:paraId="0270328F" w14:textId="77777777" w:rsidR="00A03F2C" w:rsidRPr="00A03F2C" w:rsidRDefault="00A03F2C" w:rsidP="00A03F2C">
            <w:pPr>
              <w:keepNext/>
              <w:keepLines/>
              <w:spacing w:before="20" w:after="20" w:line="240" w:lineRule="auto"/>
              <w:rPr>
                <w:rFonts w:eastAsia="Times New Roman"/>
                <w:bCs/>
              </w:rPr>
            </w:pPr>
            <w:r w:rsidRPr="00A03F2C">
              <w:rPr>
                <w:rFonts w:eastAsia="Times New Roman"/>
                <w:bCs/>
              </w:rPr>
              <w:t>Komunikovatelnost opatření</w:t>
            </w:r>
          </w:p>
        </w:tc>
        <w:tc>
          <w:tcPr>
            <w:tcW w:w="850" w:type="dxa"/>
            <w:tcBorders>
              <w:top w:val="single" w:sz="8" w:space="0" w:color="000000"/>
              <w:left w:val="single" w:sz="8" w:space="0" w:color="000000"/>
              <w:bottom w:val="single" w:sz="8" w:space="0" w:color="000000"/>
              <w:right w:val="single" w:sz="8" w:space="0" w:color="000000"/>
            </w:tcBorders>
            <w:vAlign w:val="center"/>
          </w:tcPr>
          <w:p w14:paraId="25505B89" w14:textId="77777777" w:rsidR="00A03F2C" w:rsidRPr="00A03F2C" w:rsidRDefault="00A03F2C" w:rsidP="00A03F2C">
            <w:pPr>
              <w:keepNext/>
              <w:keepLines/>
              <w:spacing w:before="20" w:after="20" w:line="240" w:lineRule="auto"/>
              <w:jc w:val="center"/>
            </w:pPr>
            <w:r w:rsidRPr="00A03F2C">
              <w:t>0</w:t>
            </w:r>
          </w:p>
        </w:tc>
        <w:tc>
          <w:tcPr>
            <w:tcW w:w="850" w:type="dxa"/>
            <w:tcBorders>
              <w:top w:val="single" w:sz="8" w:space="0" w:color="000000"/>
              <w:left w:val="single" w:sz="8" w:space="0" w:color="000000"/>
              <w:bottom w:val="single" w:sz="8" w:space="0" w:color="000000"/>
              <w:right w:val="single" w:sz="8" w:space="0" w:color="000000"/>
            </w:tcBorders>
            <w:vAlign w:val="center"/>
          </w:tcPr>
          <w:p w14:paraId="16D46A78" w14:textId="77777777" w:rsidR="00A03F2C" w:rsidRPr="00A03F2C" w:rsidRDefault="00A03F2C" w:rsidP="00A03F2C">
            <w:pPr>
              <w:keepNext/>
              <w:keepLines/>
              <w:spacing w:before="20" w:after="20" w:line="240" w:lineRule="auto"/>
              <w:jc w:val="center"/>
            </w:pPr>
            <w:r w:rsidRPr="00A03F2C">
              <w:t>+</w:t>
            </w:r>
          </w:p>
        </w:tc>
        <w:tc>
          <w:tcPr>
            <w:tcW w:w="851" w:type="dxa"/>
            <w:tcBorders>
              <w:top w:val="single" w:sz="8" w:space="0" w:color="000000"/>
              <w:left w:val="single" w:sz="8" w:space="0" w:color="000000"/>
              <w:bottom w:val="single" w:sz="8" w:space="0" w:color="000000"/>
              <w:right w:val="single" w:sz="8" w:space="0" w:color="000000"/>
            </w:tcBorders>
            <w:vAlign w:val="center"/>
          </w:tcPr>
          <w:p w14:paraId="6E0543F3" w14:textId="77777777" w:rsidR="00A03F2C" w:rsidRPr="00A03F2C" w:rsidRDefault="00A03F2C" w:rsidP="00A03F2C">
            <w:pPr>
              <w:keepNext/>
              <w:keepLines/>
              <w:spacing w:before="20" w:after="20" w:line="240" w:lineRule="auto"/>
              <w:jc w:val="center"/>
            </w:pPr>
            <w:r w:rsidRPr="00A03F2C">
              <w:t>++</w:t>
            </w:r>
          </w:p>
        </w:tc>
      </w:tr>
    </w:tbl>
    <w:p w14:paraId="10E09A9B" w14:textId="77777777" w:rsidR="00A03F2C" w:rsidRPr="00A03F2C" w:rsidRDefault="00A03F2C" w:rsidP="00A03F2C">
      <w:pPr>
        <w:keepNext/>
        <w:keepLines/>
        <w:pBdr>
          <w:bottom w:val="single" w:sz="12" w:space="1" w:color="auto"/>
        </w:pBdr>
        <w:shd w:val="clear" w:color="auto" w:fill="FFFFFF"/>
        <w:suppressAutoHyphens w:val="0"/>
        <w:spacing w:before="240" w:after="60"/>
        <w:outlineLvl w:val="4"/>
        <w:rPr>
          <w:b/>
          <w:sz w:val="24"/>
        </w:rPr>
      </w:pPr>
      <w:r w:rsidRPr="00A03F2C">
        <w:rPr>
          <w:b/>
          <w:sz w:val="24"/>
        </w:rPr>
        <w:t xml:space="preserve">C) </w:t>
      </w:r>
      <w:r w:rsidRPr="00A03F2C">
        <w:rPr>
          <w:b/>
          <w:caps/>
          <w:sz w:val="24"/>
        </w:rPr>
        <w:t>Shrnutí vyhodnocení variant a výběr nejvhodnějšího řešení</w:t>
      </w:r>
    </w:p>
    <w:p w14:paraId="1397F3CB" w14:textId="77777777" w:rsidR="00A03F2C" w:rsidRPr="00A03F2C" w:rsidRDefault="00A03F2C" w:rsidP="000A5D66">
      <w:pPr>
        <w:suppressAutoHyphens w:val="0"/>
        <w:spacing w:before="120"/>
        <w:jc w:val="both"/>
        <w:rPr>
          <w:rFonts w:eastAsia="Calibri"/>
        </w:rPr>
      </w:pPr>
      <w:r w:rsidRPr="00A03F2C">
        <w:rPr>
          <w:rFonts w:eastAsia="Calibri"/>
        </w:rPr>
        <w:t>Varianta 2 předpokládající zvýšení procentuální výše státního příspěvku na 40 % v případě účastníků ve věku 0 až 29 let je z hlediska dosažení cíle spočívajícího v prodloužení doby spoření prostřednictvím zvýšení zapojení mladších věkových kategorií vhodnější, neboť lze očekávat vyšší míru zatraktivnění DPS pro nové účastníky spojenou s vyšším růstem počtu účastníků ve věku 0 až 29 let, než ke kterému by došlo ve variantě 1, v níž se zvyšuje procentuální výše státního příspěvku na 25 %. Varianta 2 se také jeví jako lépe komunikovatelná vůči účastníkům, protože umožňuje zdůraznit atraktivní zdvojnásobení výše státního příspěvku. Varianta 2 však zároveň představuje vyšší zátěž pro státní rozpočet, kdy výdaje státního rozpočtu na státní příspěvek jsou ve srovnání s variantou 1 o cca 0,7 mld. Kč vyšší a oproti zachování současného stavu může dojít ke zvýšení výdajů státního rozpočtu až o 1,6 mld. Kč. Nicméně z hlediska významnosti dopadů je při výběru nejvhodnějšího řešení vzhledem k cílům návrhu zákona upřednostněno zajištění vyšší motivace pro vstup do systému DPS v mladém věku a z tohoto pohledu je uvedené navýšení výdajů státního rozpočtu považováno za únosné.</w:t>
      </w:r>
    </w:p>
    <w:p w14:paraId="47707129" w14:textId="77777777" w:rsidR="003E11DB" w:rsidRDefault="00A03F2C" w:rsidP="00A03F2C">
      <w:pPr>
        <w:suppressAutoHyphens w:val="0"/>
        <w:spacing w:after="0" w:line="240" w:lineRule="auto"/>
        <w:rPr>
          <w:b/>
        </w:rPr>
      </w:pPr>
      <w:r w:rsidRPr="00A03F2C">
        <w:rPr>
          <w:b/>
        </w:rPr>
        <w:t>K implementaci se navrhuje varianta 2 – Zvýšení procentuální výše státního příspěvku na 40 %.</w:t>
      </w:r>
      <w:r w:rsidR="003E11DB">
        <w:rPr>
          <w:b/>
        </w:rPr>
        <w:br w:type="page"/>
      </w:r>
    </w:p>
    <w:p w14:paraId="3FB2177F" w14:textId="77777777" w:rsidR="003D7505" w:rsidRDefault="0029587E" w:rsidP="00444A20">
      <w:pPr>
        <w:pStyle w:val="Nadpis1"/>
      </w:pPr>
      <w:bookmarkStart w:id="186" w:name="_Toc418509338"/>
      <w:bookmarkStart w:id="187" w:name="_Toc418511045"/>
      <w:bookmarkStart w:id="188" w:name="_Toc418511396"/>
      <w:bookmarkStart w:id="189" w:name="_Toc418511462"/>
      <w:bookmarkStart w:id="190" w:name="_Toc423508411"/>
      <w:bookmarkStart w:id="191" w:name="_Toc3289554"/>
      <w:bookmarkStart w:id="192" w:name="_Toc4573415"/>
      <w:bookmarkStart w:id="193" w:name="_Toc4579954"/>
      <w:bookmarkStart w:id="194" w:name="_Toc4587314"/>
      <w:bookmarkStart w:id="195" w:name="_Toc8730949"/>
      <w:bookmarkStart w:id="196" w:name="_Toc11764026"/>
      <w:bookmarkStart w:id="197" w:name="_Toc24964568"/>
      <w:bookmarkStart w:id="198" w:name="_Toc411422806"/>
      <w:bookmarkStart w:id="199" w:name="_Toc418509376"/>
      <w:bookmarkStart w:id="200" w:name="_Toc418511083"/>
      <w:bookmarkStart w:id="201" w:name="_Toc418511498"/>
      <w:bookmarkStart w:id="202" w:name="_Toc423508448"/>
      <w:bookmarkStart w:id="203" w:name="_Toc3289561"/>
      <w:bookmarkStart w:id="204" w:name="_Toc4587321"/>
      <w:bookmarkStart w:id="205" w:name="_Toc8730950"/>
      <w:bookmarkStart w:id="206" w:name="_Toc11764027"/>
      <w:bookmarkStart w:id="207" w:name="_Toc24964569"/>
      <w:bookmarkStart w:id="208" w:name="_Toc190782545"/>
      <w:bookmarkStart w:id="209" w:name="_Toc202178972"/>
      <w:bookmarkStart w:id="210" w:name="_Toc227742403"/>
      <w:bookmarkStart w:id="211" w:name="_Toc229662662"/>
      <w:bookmarkStart w:id="212" w:name="_Toc231310645"/>
      <w:bookmarkEnd w:id="138"/>
      <w:bookmarkEnd w:id="139"/>
      <w:bookmarkEnd w:id="140"/>
      <w:bookmarkEnd w:id="141"/>
      <w:bookmarkEnd w:id="142"/>
      <w:bookmarkEnd w:id="143"/>
      <w:bookmarkEnd w:id="144"/>
      <w:bookmarkEnd w:id="186"/>
      <w:bookmarkEnd w:id="187"/>
      <w:bookmarkEnd w:id="188"/>
      <w:bookmarkEnd w:id="189"/>
      <w:bookmarkEnd w:id="190"/>
      <w:bookmarkEnd w:id="191"/>
      <w:bookmarkEnd w:id="192"/>
      <w:bookmarkEnd w:id="193"/>
      <w:bookmarkEnd w:id="194"/>
      <w:bookmarkEnd w:id="195"/>
      <w:bookmarkEnd w:id="196"/>
      <w:bookmarkEnd w:id="197"/>
      <w:r>
        <w:lastRenderedPageBreak/>
        <w:t>Výběr</w:t>
      </w:r>
      <w:r w:rsidR="003D7505" w:rsidRPr="00C064C9">
        <w:t xml:space="preserve"> </w:t>
      </w:r>
      <w:r>
        <w:t xml:space="preserve">nejvhodnějšího </w:t>
      </w:r>
      <w:r w:rsidR="003D7505" w:rsidRPr="00C064C9">
        <w:t>řešení</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E3C48AA" w14:textId="77777777" w:rsidR="00C064C9" w:rsidRDefault="00C064C9" w:rsidP="00DE4EA7">
      <w:pPr>
        <w:pStyle w:val="Bezmezer"/>
      </w:pPr>
      <w:r>
        <w:t>Ní</w:t>
      </w:r>
      <w:r w:rsidRPr="0007492E">
        <w:t>že je uvedeno</w:t>
      </w:r>
      <w:r>
        <w:t xml:space="preserve"> shrnutí všech řešení, které MF navrhuje uplatnit v předkládaném zákoně.</w:t>
      </w:r>
    </w:p>
    <w:p w14:paraId="59BC8051" w14:textId="77777777" w:rsidR="00C064C9" w:rsidRPr="002167D1" w:rsidRDefault="00C064C9" w:rsidP="000950AC">
      <w:pPr>
        <w:pStyle w:val="Titulek"/>
        <w:spacing w:after="120"/>
      </w:pPr>
      <w:bookmarkStart w:id="213" w:name="_Toc423435836"/>
      <w:bookmarkStart w:id="214" w:name="_Toc7182608"/>
      <w:bookmarkStart w:id="215" w:name="_Toc24964635"/>
      <w:bookmarkStart w:id="216" w:name="_Toc230006813"/>
      <w:r w:rsidRPr="002167D1">
        <w:t xml:space="preserve">Tabulka </w:t>
      </w:r>
      <w:r w:rsidR="00C904AE">
        <w:fldChar w:fldCharType="begin"/>
      </w:r>
      <w:r w:rsidR="00C904AE">
        <w:instrText xml:space="preserve"> SEQ Tabulka \* ARABIC </w:instrText>
      </w:r>
      <w:r w:rsidR="00C904AE">
        <w:fldChar w:fldCharType="separate"/>
      </w:r>
      <w:r w:rsidR="007653B4">
        <w:rPr>
          <w:noProof/>
        </w:rPr>
        <w:t>17</w:t>
      </w:r>
      <w:r w:rsidR="00C904AE">
        <w:rPr>
          <w:noProof/>
        </w:rPr>
        <w:fldChar w:fldCharType="end"/>
      </w:r>
      <w:r w:rsidRPr="002167D1">
        <w:t>: Shrnutí nejvhodnějšího řešení</w:t>
      </w:r>
      <w:bookmarkEnd w:id="213"/>
      <w:bookmarkEnd w:id="214"/>
      <w:bookmarkEnd w:id="215"/>
      <w:bookmarkEnd w:id="2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20" w:firstRow="1" w:lastRow="0" w:firstColumn="0" w:lastColumn="0" w:noHBand="0" w:noVBand="1"/>
      </w:tblPr>
      <w:tblGrid>
        <w:gridCol w:w="3712"/>
        <w:gridCol w:w="5350"/>
      </w:tblGrid>
      <w:tr w:rsidR="003E11DB" w:rsidRPr="00EA2980" w14:paraId="324DEA5D" w14:textId="77777777" w:rsidTr="00E74468">
        <w:trPr>
          <w:trHeight w:val="321"/>
          <w:tblHeader/>
        </w:trPr>
        <w:tc>
          <w:tcPr>
            <w:tcW w:w="2048" w:type="pct"/>
            <w:tcBorders>
              <w:bottom w:val="single" w:sz="4" w:space="0" w:color="auto"/>
            </w:tcBorders>
            <w:shd w:val="clear" w:color="auto" w:fill="C6D9F1" w:themeFill="text2" w:themeFillTint="33"/>
            <w:vAlign w:val="center"/>
          </w:tcPr>
          <w:p w14:paraId="2F93861C" w14:textId="77777777" w:rsidR="003E11DB" w:rsidRPr="00BC1CD1" w:rsidRDefault="003E11DB" w:rsidP="003E11DB">
            <w:pPr>
              <w:suppressAutoHyphens w:val="0"/>
              <w:spacing w:after="0" w:line="240" w:lineRule="auto"/>
              <w:jc w:val="center"/>
              <w:rPr>
                <w:rFonts w:eastAsia="Calibri"/>
                <w:b/>
              </w:rPr>
            </w:pPr>
            <w:r w:rsidRPr="00BC1CD1">
              <w:rPr>
                <w:rFonts w:eastAsia="Calibri"/>
                <w:b/>
              </w:rPr>
              <w:t xml:space="preserve">Popis </w:t>
            </w:r>
            <w:r>
              <w:rPr>
                <w:rFonts w:eastAsia="Calibri"/>
                <w:b/>
              </w:rPr>
              <w:t>problému</w:t>
            </w:r>
          </w:p>
        </w:tc>
        <w:tc>
          <w:tcPr>
            <w:tcW w:w="2952" w:type="pct"/>
            <w:tcBorders>
              <w:bottom w:val="single" w:sz="4" w:space="0" w:color="auto"/>
            </w:tcBorders>
            <w:shd w:val="clear" w:color="auto" w:fill="C6D9F1" w:themeFill="text2" w:themeFillTint="33"/>
            <w:vAlign w:val="center"/>
          </w:tcPr>
          <w:p w14:paraId="498C9C1D" w14:textId="77777777" w:rsidR="003E11DB" w:rsidRPr="00BC1CD1" w:rsidRDefault="003E11DB" w:rsidP="00B43CC5">
            <w:pPr>
              <w:suppressAutoHyphens w:val="0"/>
              <w:spacing w:after="0" w:line="240" w:lineRule="auto"/>
              <w:jc w:val="center"/>
              <w:rPr>
                <w:rFonts w:eastAsia="Calibri"/>
                <w:b/>
              </w:rPr>
            </w:pPr>
            <w:r>
              <w:rPr>
                <w:rFonts w:eastAsia="Calibri"/>
                <w:b/>
              </w:rPr>
              <w:t>Vybraná varianta</w:t>
            </w:r>
            <w:r w:rsidR="00B43CC5">
              <w:rPr>
                <w:rFonts w:eastAsia="Calibri"/>
                <w:b/>
              </w:rPr>
              <w:t xml:space="preserve"> daného problému</w:t>
            </w:r>
          </w:p>
        </w:tc>
      </w:tr>
      <w:tr w:rsidR="003E11DB" w:rsidRPr="00EA2980" w14:paraId="003FB3FF" w14:textId="77777777" w:rsidTr="00E74468">
        <w:trPr>
          <w:trHeight w:val="321"/>
        </w:trPr>
        <w:tc>
          <w:tcPr>
            <w:tcW w:w="2048" w:type="pct"/>
            <w:tcBorders>
              <w:top w:val="single" w:sz="4" w:space="0" w:color="auto"/>
            </w:tcBorders>
            <w:shd w:val="clear" w:color="auto" w:fill="auto"/>
          </w:tcPr>
          <w:p w14:paraId="7224C5DA" w14:textId="77777777" w:rsidR="003E11DB" w:rsidRPr="00BC1CD1" w:rsidRDefault="00F33BB2" w:rsidP="00DE66D5">
            <w:pPr>
              <w:suppressAutoHyphens w:val="0"/>
              <w:spacing w:before="20" w:after="20" w:line="240" w:lineRule="auto"/>
              <w:rPr>
                <w:rFonts w:eastAsia="Calibri"/>
              </w:rPr>
            </w:pPr>
            <w:r w:rsidRPr="00F33BB2">
              <w:rPr>
                <w:rFonts w:eastAsia="Calibri"/>
              </w:rPr>
              <w:t>Snížení limitů na úplatu penzijních společností</w:t>
            </w:r>
          </w:p>
        </w:tc>
        <w:tc>
          <w:tcPr>
            <w:tcW w:w="2952" w:type="pct"/>
            <w:tcBorders>
              <w:top w:val="single" w:sz="4" w:space="0" w:color="auto"/>
            </w:tcBorders>
            <w:shd w:val="clear" w:color="auto" w:fill="auto"/>
          </w:tcPr>
          <w:p w14:paraId="07C734C2" w14:textId="77777777" w:rsidR="003E11DB" w:rsidRPr="00BC1CD1" w:rsidRDefault="00F33BB2" w:rsidP="005C4AD0">
            <w:pPr>
              <w:suppressAutoHyphens w:val="0"/>
              <w:spacing w:before="20" w:after="20" w:line="240" w:lineRule="auto"/>
              <w:jc w:val="both"/>
              <w:rPr>
                <w:rFonts w:eastAsia="Calibri"/>
              </w:rPr>
            </w:pPr>
            <w:r>
              <w:rPr>
                <w:rFonts w:eastAsia="Calibri"/>
              </w:rPr>
              <w:t>Varianta 1:</w:t>
            </w:r>
            <w:r w:rsidRPr="00F33BB2">
              <w:rPr>
                <w:rFonts w:eastAsia="Calibri"/>
              </w:rPr>
              <w:t xml:space="preserve"> </w:t>
            </w:r>
            <w:r w:rsidR="005C4AD0" w:rsidRPr="005C4AD0">
              <w:rPr>
                <w:rFonts w:eastAsia="Calibri"/>
              </w:rPr>
              <w:t>Snížení maximálního zákonného limitu úplaty za obhospodařování na 0,5 % bez možnosti účtování úplaty za zhodnocení u všech fondů</w:t>
            </w:r>
          </w:p>
        </w:tc>
      </w:tr>
      <w:tr w:rsidR="003E11DB" w:rsidRPr="00EA2980" w14:paraId="524036EC" w14:textId="77777777" w:rsidTr="00E74468">
        <w:trPr>
          <w:trHeight w:val="321"/>
        </w:trPr>
        <w:tc>
          <w:tcPr>
            <w:tcW w:w="2048" w:type="pct"/>
            <w:shd w:val="clear" w:color="auto" w:fill="auto"/>
          </w:tcPr>
          <w:p w14:paraId="26E8F5FC" w14:textId="77777777" w:rsidR="003E11DB" w:rsidRPr="00BC1CD1" w:rsidRDefault="00F33BB2" w:rsidP="00DE66D5">
            <w:pPr>
              <w:suppressAutoHyphens w:val="0"/>
              <w:spacing w:before="20" w:after="20" w:line="240" w:lineRule="auto"/>
              <w:rPr>
                <w:rFonts w:eastAsia="Calibri"/>
              </w:rPr>
            </w:pPr>
            <w:r w:rsidRPr="00F33BB2">
              <w:rPr>
                <w:rFonts w:eastAsia="Calibri"/>
              </w:rPr>
              <w:t>Snížení podmínky nároku na státní příspěvek spočívající v minim</w:t>
            </w:r>
            <w:r>
              <w:rPr>
                <w:rFonts w:eastAsia="Calibri"/>
              </w:rPr>
              <w:t>ální výši příspěvku účastníka u </w:t>
            </w:r>
            <w:r w:rsidRPr="00F33BB2">
              <w:rPr>
                <w:rFonts w:eastAsia="Calibri"/>
              </w:rPr>
              <w:t>nezletilých účastníků</w:t>
            </w:r>
          </w:p>
        </w:tc>
        <w:tc>
          <w:tcPr>
            <w:tcW w:w="2952" w:type="pct"/>
            <w:shd w:val="clear" w:color="auto" w:fill="auto"/>
          </w:tcPr>
          <w:p w14:paraId="52318ECD" w14:textId="77777777" w:rsidR="003E11DB" w:rsidRPr="00BC1CD1" w:rsidRDefault="00F33BB2" w:rsidP="00AC2A63">
            <w:pPr>
              <w:suppressAutoHyphens w:val="0"/>
              <w:spacing w:before="20" w:after="20" w:line="240" w:lineRule="auto"/>
              <w:jc w:val="both"/>
              <w:rPr>
                <w:rFonts w:eastAsia="Calibri"/>
              </w:rPr>
            </w:pPr>
            <w:r>
              <w:rPr>
                <w:rFonts w:eastAsia="Calibri"/>
              </w:rPr>
              <w:t>Varianta 2:</w:t>
            </w:r>
            <w:r w:rsidRPr="00F33BB2">
              <w:rPr>
                <w:rFonts w:eastAsia="Calibri"/>
              </w:rPr>
              <w:t xml:space="preserve"> Snížení minimální výše příspěvku účastníka pro nárok na státn</w:t>
            </w:r>
            <w:r>
              <w:rPr>
                <w:rFonts w:eastAsia="Calibri"/>
              </w:rPr>
              <w:t>í příspěvek na 100 Kč</w:t>
            </w:r>
          </w:p>
        </w:tc>
      </w:tr>
      <w:tr w:rsidR="003E11DB" w:rsidRPr="00EA2980" w14:paraId="0DFD9CB5" w14:textId="77777777" w:rsidTr="00E74468">
        <w:trPr>
          <w:trHeight w:val="321"/>
        </w:trPr>
        <w:tc>
          <w:tcPr>
            <w:tcW w:w="2048" w:type="pct"/>
            <w:shd w:val="clear" w:color="auto" w:fill="auto"/>
          </w:tcPr>
          <w:p w14:paraId="0487DD85" w14:textId="77777777" w:rsidR="003E11DB" w:rsidRPr="00BC1CD1" w:rsidRDefault="00F33BB2" w:rsidP="00DE66D5">
            <w:pPr>
              <w:suppressAutoHyphens w:val="0"/>
              <w:spacing w:before="20" w:after="20" w:line="240" w:lineRule="auto"/>
              <w:rPr>
                <w:rFonts w:eastAsia="Calibri"/>
              </w:rPr>
            </w:pPr>
            <w:r w:rsidRPr="00F33BB2">
              <w:rPr>
                <w:rFonts w:eastAsia="Calibri"/>
              </w:rPr>
              <w:t xml:space="preserve">Poskytování procentuálně vyššího </w:t>
            </w:r>
            <w:r>
              <w:rPr>
                <w:rFonts w:eastAsia="Calibri"/>
              </w:rPr>
              <w:t>státního příspěvku nezletilým a </w:t>
            </w:r>
            <w:r w:rsidRPr="00F33BB2">
              <w:rPr>
                <w:rFonts w:eastAsia="Calibri"/>
              </w:rPr>
              <w:t>mladým dospělým účastníkům</w:t>
            </w:r>
          </w:p>
        </w:tc>
        <w:tc>
          <w:tcPr>
            <w:tcW w:w="2952" w:type="pct"/>
            <w:shd w:val="clear" w:color="auto" w:fill="auto"/>
          </w:tcPr>
          <w:p w14:paraId="6B49EC5D" w14:textId="77777777" w:rsidR="003E11DB" w:rsidRPr="00BC1CD1" w:rsidRDefault="00F33BB2" w:rsidP="00AC2A63">
            <w:pPr>
              <w:suppressAutoHyphens w:val="0"/>
              <w:spacing w:before="20" w:after="20" w:line="240" w:lineRule="auto"/>
              <w:jc w:val="both"/>
              <w:rPr>
                <w:rFonts w:eastAsia="Calibri"/>
              </w:rPr>
            </w:pPr>
            <w:r>
              <w:rPr>
                <w:rFonts w:eastAsia="Calibri"/>
              </w:rPr>
              <w:t>Varianta 2:</w:t>
            </w:r>
            <w:r w:rsidRPr="00F33BB2">
              <w:rPr>
                <w:rFonts w:eastAsia="Calibri"/>
              </w:rPr>
              <w:t xml:space="preserve"> Zvýšení procentuální </w:t>
            </w:r>
            <w:r>
              <w:rPr>
                <w:rFonts w:eastAsia="Calibri"/>
              </w:rPr>
              <w:t>výše státního příspěvku na 40 %</w:t>
            </w:r>
          </w:p>
        </w:tc>
      </w:tr>
    </w:tbl>
    <w:p w14:paraId="5571750A" w14:textId="77777777" w:rsidR="003D7505" w:rsidRDefault="003D7505" w:rsidP="00444A20">
      <w:pPr>
        <w:pStyle w:val="Nadpis1"/>
      </w:pPr>
      <w:bookmarkStart w:id="217" w:name="_Toc418509377"/>
      <w:bookmarkStart w:id="218" w:name="_Toc418511084"/>
      <w:bookmarkStart w:id="219" w:name="_Toc418511435"/>
      <w:bookmarkStart w:id="220" w:name="_Toc418511499"/>
      <w:bookmarkStart w:id="221" w:name="_Toc411422808"/>
      <w:bookmarkStart w:id="222" w:name="_Toc418509379"/>
      <w:bookmarkStart w:id="223" w:name="_Toc418511086"/>
      <w:bookmarkStart w:id="224" w:name="_Toc418511501"/>
      <w:bookmarkStart w:id="225" w:name="_Toc423508450"/>
      <w:bookmarkStart w:id="226" w:name="_Toc3289563"/>
      <w:bookmarkStart w:id="227" w:name="_Toc4587323"/>
      <w:bookmarkStart w:id="228" w:name="_Toc8730952"/>
      <w:bookmarkStart w:id="229" w:name="_Toc11764028"/>
      <w:bookmarkStart w:id="230" w:name="_Toc24964570"/>
      <w:bookmarkStart w:id="231" w:name="_Toc190782546"/>
      <w:bookmarkStart w:id="232" w:name="_Toc202178973"/>
      <w:bookmarkStart w:id="233" w:name="_Toc227742404"/>
      <w:bookmarkStart w:id="234" w:name="_Toc229662663"/>
      <w:bookmarkStart w:id="235" w:name="_Toc231310646"/>
      <w:bookmarkEnd w:id="217"/>
      <w:bookmarkEnd w:id="218"/>
      <w:bookmarkEnd w:id="219"/>
      <w:bookmarkEnd w:id="220"/>
      <w:r w:rsidRPr="007A00BA">
        <w:t>Implementace doporučené varianty a vynucování</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7CA3DDB1" w14:textId="77777777" w:rsidR="003B52C9" w:rsidRPr="00262513" w:rsidRDefault="003B52C9" w:rsidP="003B52C9">
      <w:pPr>
        <w:pStyle w:val="Hlavnitext"/>
      </w:pPr>
      <w:r w:rsidRPr="00262513">
        <w:t xml:space="preserve">Implementace </w:t>
      </w:r>
      <w:r>
        <w:t>zvolené varianty bu</w:t>
      </w:r>
      <w:r w:rsidRPr="00262513">
        <w:t xml:space="preserve">de provedena novelou zákona o </w:t>
      </w:r>
      <w:r w:rsidR="00AB35F3" w:rsidRPr="00AB35F3">
        <w:t>doplňkovém penzijním spoření</w:t>
      </w:r>
      <w:r w:rsidR="00AB35F3">
        <w:t>.</w:t>
      </w:r>
      <w:r w:rsidR="00F90D88">
        <w:t xml:space="preserve"> Stanovení úplaty v rozporu se zákonnými limity je dle současného znění zákona o doplňkovém penzijním spoření považováno za přestupek, za který lze uložit pokutu do 20 mil. Kč. Novelou zákona nedochází k úpravě </w:t>
      </w:r>
      <w:r w:rsidR="007F41B9">
        <w:t xml:space="preserve">tohoto </w:t>
      </w:r>
      <w:r w:rsidR="00F90D88">
        <w:t>přestupk</w:t>
      </w:r>
      <w:r w:rsidR="007F41B9">
        <w:t>u</w:t>
      </w:r>
      <w:r w:rsidR="00F90D88">
        <w:t xml:space="preserve"> ani výše pokut</w:t>
      </w:r>
      <w:r w:rsidR="0076463A">
        <w:t>y</w:t>
      </w:r>
      <w:r w:rsidR="00F90D88">
        <w:t>.</w:t>
      </w:r>
    </w:p>
    <w:p w14:paraId="357CC012" w14:textId="77777777" w:rsidR="003D7505" w:rsidRDefault="003D7505" w:rsidP="00444A20">
      <w:pPr>
        <w:pStyle w:val="Nadpis1"/>
      </w:pPr>
      <w:bookmarkStart w:id="236" w:name="_Toc411422809"/>
      <w:bookmarkStart w:id="237" w:name="_Toc418509380"/>
      <w:bookmarkStart w:id="238" w:name="_Toc418511087"/>
      <w:bookmarkStart w:id="239" w:name="_Toc418511502"/>
      <w:bookmarkStart w:id="240" w:name="_Toc423508451"/>
      <w:bookmarkStart w:id="241" w:name="_Toc3289564"/>
      <w:bookmarkStart w:id="242" w:name="_Toc4587324"/>
      <w:bookmarkStart w:id="243" w:name="_Toc8730953"/>
      <w:bookmarkStart w:id="244" w:name="_Toc11764029"/>
      <w:bookmarkStart w:id="245" w:name="_Toc24964571"/>
      <w:bookmarkStart w:id="246" w:name="_Toc190782547"/>
      <w:bookmarkStart w:id="247" w:name="_Toc202178974"/>
      <w:bookmarkStart w:id="248" w:name="_Toc227742405"/>
      <w:bookmarkStart w:id="249" w:name="_Toc229662664"/>
      <w:bookmarkStart w:id="250" w:name="_Toc231310647"/>
      <w:r w:rsidRPr="007A00BA">
        <w:t>Přezkum účinnosti regulace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DE13441" w14:textId="77777777" w:rsidR="003B52C9" w:rsidRDefault="003B52C9" w:rsidP="003B52C9">
      <w:pPr>
        <w:pStyle w:val="Hlavnitext"/>
      </w:pPr>
      <w:r w:rsidRPr="003F2C31">
        <w:t>Přezkum účinnosti a vhodnosti nové úpravy</w:t>
      </w:r>
      <w:r>
        <w:t xml:space="preserve">, dle </w:t>
      </w:r>
      <w:r w:rsidRPr="00A87C5A">
        <w:t>Metodik</w:t>
      </w:r>
      <w:r>
        <w:t>y</w:t>
      </w:r>
      <w:r w:rsidRPr="00A87C5A">
        <w:t xml:space="preserve"> přezkumu účinnosti právních předpisů (ex</w:t>
      </w:r>
      <w:r>
        <w:noBreakHyphen/>
      </w:r>
      <w:r w:rsidRPr="00A87C5A">
        <w:t>post RIA)</w:t>
      </w:r>
      <w:r>
        <w:t>,</w:t>
      </w:r>
      <w:r w:rsidRPr="003F2C31">
        <w:t xml:space="preserve"> </w:t>
      </w:r>
      <w:r>
        <w:t>bude</w:t>
      </w:r>
      <w:r w:rsidRPr="003F2C31">
        <w:t xml:space="preserve"> </w:t>
      </w:r>
      <w:r>
        <w:t>proveden</w:t>
      </w:r>
      <w:r w:rsidRPr="003F2C31">
        <w:t xml:space="preserve"> MF jako ústředním orgánem státní správy pro finanční trh</w:t>
      </w:r>
      <w:r>
        <w:t xml:space="preserve"> formou vytvoření Zprávy</w:t>
      </w:r>
      <w:r w:rsidRPr="007776A8">
        <w:t xml:space="preserve"> </w:t>
      </w:r>
      <w:r>
        <w:t>o přezkumu, v níž budou shrnuty klíčové informace o průběhu a výsledcích regulace</w:t>
      </w:r>
      <w:r w:rsidRPr="003F2C31">
        <w:t>.</w:t>
      </w:r>
      <w:r>
        <w:t xml:space="preserve"> Zpráva přezkumu bude vytvořena 5 let od doby nabytí účinnosti navrhované regulace a bude analyzovat vhodnost zvolené regulace. </w:t>
      </w:r>
    </w:p>
    <w:p w14:paraId="139E608E" w14:textId="77777777" w:rsidR="003D7505" w:rsidRDefault="003D7505" w:rsidP="00444A20">
      <w:pPr>
        <w:pStyle w:val="Nadpis1"/>
      </w:pPr>
      <w:bookmarkStart w:id="251" w:name="_Toc411422810"/>
      <w:bookmarkStart w:id="252" w:name="_Toc418509381"/>
      <w:bookmarkStart w:id="253" w:name="_Toc418511088"/>
      <w:bookmarkStart w:id="254" w:name="_Toc418511503"/>
      <w:bookmarkStart w:id="255" w:name="_Toc423508452"/>
      <w:bookmarkStart w:id="256" w:name="_Toc3289565"/>
      <w:bookmarkStart w:id="257" w:name="_Toc4587325"/>
      <w:bookmarkStart w:id="258" w:name="_Toc8730954"/>
      <w:bookmarkStart w:id="259" w:name="_Toc11764030"/>
      <w:bookmarkStart w:id="260" w:name="_Toc24964572"/>
      <w:bookmarkStart w:id="261" w:name="_Toc190782548"/>
      <w:bookmarkStart w:id="262" w:name="_Toc202178975"/>
      <w:bookmarkStart w:id="263" w:name="_Toc227742406"/>
      <w:bookmarkStart w:id="264" w:name="_Toc229662665"/>
      <w:bookmarkStart w:id="265" w:name="_Toc231310648"/>
      <w:r w:rsidRPr="007A00BA">
        <w:t>Konzultace a zdroje dat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DEAF13E" w14:textId="77777777" w:rsidR="00D35ACB" w:rsidRDefault="00CD110C" w:rsidP="00CD110C">
      <w:pPr>
        <w:pStyle w:val="Hlavnitext"/>
      </w:pPr>
      <w:r w:rsidRPr="00CD110C">
        <w:t xml:space="preserve">Data použitá v této ZZ RIA pochází z veřejně dostupných zdrojů, a to </w:t>
      </w:r>
      <w:r>
        <w:t xml:space="preserve">zejména </w:t>
      </w:r>
      <w:r w:rsidRPr="00CD110C">
        <w:t xml:space="preserve">z databáze ARAD, která je součástí informačního servisu ČNB, a z výročních zpráv </w:t>
      </w:r>
      <w:r>
        <w:t xml:space="preserve">jednotlivých penzijních společností. Dále byla použita data Českého statistického úřadu týkající se věkového složení obyvatelstva včetně </w:t>
      </w:r>
      <w:r w:rsidR="00D35ACB">
        <w:t>projekce a </w:t>
      </w:r>
      <w:r>
        <w:t xml:space="preserve">data týkající se výše </w:t>
      </w:r>
      <w:r w:rsidR="00D35ACB">
        <w:t>uplatňovaných</w:t>
      </w:r>
      <w:r>
        <w:t xml:space="preserve"> úplat</w:t>
      </w:r>
      <w:r w:rsidRPr="00CD110C">
        <w:t xml:space="preserve"> penzijních společností </w:t>
      </w:r>
      <w:r>
        <w:t xml:space="preserve">ze </w:t>
      </w:r>
      <w:r w:rsidRPr="00D35ACB">
        <w:rPr>
          <w:i/>
        </w:rPr>
        <w:t>Srovnávací studie třetího důchodového pilíře</w:t>
      </w:r>
      <w:r>
        <w:t xml:space="preserve"> zpracované společností EY.</w:t>
      </w:r>
    </w:p>
    <w:p w14:paraId="7935A033" w14:textId="77777777" w:rsidR="006A7410" w:rsidRDefault="00D35ACB" w:rsidP="00CD110C">
      <w:pPr>
        <w:pStyle w:val="Hlavnitext"/>
      </w:pPr>
      <w:r>
        <w:t xml:space="preserve">V rámci návrhů na úpravu zákonných limitů úplat penzijních společností probíhaly konzultace s autory </w:t>
      </w:r>
      <w:r w:rsidRPr="00D35ACB">
        <w:t xml:space="preserve">studie IDEA při CERGE-EI </w:t>
      </w:r>
      <w:r w:rsidRPr="00D35ACB">
        <w:rPr>
          <w:i/>
        </w:rPr>
        <w:t>Klienti penzijních fondů v pasti nízkých výnosů a vysokých poplatků</w:t>
      </w:r>
      <w:r>
        <w:t>, na jejichž základě byly stanoveny parametry jedné z variant změny limitů úplat vyhodnocované v této ZZ RIA.</w:t>
      </w:r>
    </w:p>
    <w:p w14:paraId="5FF6E893" w14:textId="77777777" w:rsidR="006279A6" w:rsidRPr="006279A6" w:rsidRDefault="006279A6" w:rsidP="006279A6"/>
    <w:p w14:paraId="1E4532FC" w14:textId="77777777" w:rsidR="00E21739" w:rsidRDefault="00E21739">
      <w:pPr>
        <w:suppressAutoHyphens w:val="0"/>
        <w:spacing w:after="0" w:line="240" w:lineRule="auto"/>
        <w:rPr>
          <w:rFonts w:asciiTheme="minorHAnsi" w:eastAsiaTheme="minorHAnsi" w:hAnsiTheme="minorHAnsi" w:cs="Arial"/>
          <w:bCs/>
          <w:szCs w:val="20"/>
          <w:lang w:eastAsia="cs-CZ"/>
        </w:rPr>
      </w:pPr>
      <w:r>
        <w:br w:type="page"/>
      </w:r>
    </w:p>
    <w:p w14:paraId="5FC1B062" w14:textId="77777777" w:rsidR="0083676E" w:rsidRDefault="00E21739" w:rsidP="00E21739">
      <w:pPr>
        <w:pStyle w:val="Nadpis1"/>
        <w:ind w:left="431" w:hanging="431"/>
      </w:pPr>
      <w:bookmarkStart w:id="266" w:name="_Toc8730956"/>
      <w:bookmarkStart w:id="267" w:name="_Toc11764032"/>
      <w:bookmarkStart w:id="268" w:name="_Toc24964574"/>
      <w:bookmarkStart w:id="269" w:name="_Toc190782550"/>
      <w:bookmarkStart w:id="270" w:name="_Toc202178977"/>
      <w:bookmarkStart w:id="271" w:name="_Toc227742408"/>
      <w:bookmarkStart w:id="272" w:name="_Toc229662667"/>
      <w:bookmarkStart w:id="273" w:name="_Toc231310649"/>
      <w:r w:rsidRPr="00E21739">
        <w:lastRenderedPageBreak/>
        <w:t>Přílohy</w:t>
      </w:r>
      <w:bookmarkEnd w:id="266"/>
      <w:bookmarkEnd w:id="267"/>
      <w:bookmarkEnd w:id="268"/>
      <w:bookmarkEnd w:id="269"/>
      <w:bookmarkEnd w:id="270"/>
      <w:bookmarkEnd w:id="271"/>
      <w:bookmarkEnd w:id="272"/>
      <w:bookmarkEnd w:id="273"/>
    </w:p>
    <w:p w14:paraId="24987A57" w14:textId="77777777" w:rsidR="00E21739" w:rsidRDefault="00E21739" w:rsidP="00530EA4">
      <w:pPr>
        <w:pStyle w:val="Nadpis2"/>
      </w:pPr>
      <w:bookmarkStart w:id="274" w:name="_Toc8730957"/>
      <w:bookmarkStart w:id="275" w:name="_Toc11764033"/>
      <w:bookmarkStart w:id="276" w:name="_Toc24964575"/>
      <w:bookmarkStart w:id="277" w:name="_Toc190782551"/>
      <w:bookmarkStart w:id="278" w:name="_Toc202178978"/>
      <w:bookmarkStart w:id="279" w:name="_Toc227742409"/>
      <w:bookmarkStart w:id="280" w:name="_Toc229662668"/>
      <w:bookmarkStart w:id="281" w:name="_Toc231310650"/>
      <w:r>
        <w:t>Seznam tabulek</w:t>
      </w:r>
      <w:bookmarkEnd w:id="274"/>
      <w:r w:rsidR="005954B2">
        <w:t xml:space="preserve"> a grafů</w:t>
      </w:r>
      <w:bookmarkEnd w:id="275"/>
      <w:bookmarkEnd w:id="276"/>
      <w:bookmarkEnd w:id="277"/>
      <w:bookmarkEnd w:id="278"/>
      <w:bookmarkEnd w:id="279"/>
      <w:bookmarkEnd w:id="280"/>
      <w:bookmarkEnd w:id="281"/>
    </w:p>
    <w:p w14:paraId="089A342D" w14:textId="6D96C4BC" w:rsidR="007653B4" w:rsidRPr="007653B4" w:rsidRDefault="00522E8A" w:rsidP="007653B4">
      <w:pPr>
        <w:pStyle w:val="Seznamobrzk"/>
        <w:tabs>
          <w:tab w:val="right" w:leader="dot" w:pos="9062"/>
        </w:tabs>
        <w:spacing w:after="120" w:line="240" w:lineRule="auto"/>
        <w:rPr>
          <w:rFonts w:asciiTheme="minorHAnsi" w:eastAsiaTheme="minorEastAsia" w:hAnsiTheme="minorHAnsi" w:cstheme="minorBidi"/>
          <w:noProof/>
          <w:lang w:eastAsia="cs-CZ"/>
        </w:rPr>
      </w:pPr>
      <w:r w:rsidRPr="007653B4">
        <w:fldChar w:fldCharType="begin"/>
      </w:r>
      <w:r w:rsidRPr="007653B4">
        <w:instrText xml:space="preserve"> TOC \h \z \c "Tabulka" </w:instrText>
      </w:r>
      <w:r w:rsidRPr="007653B4">
        <w:fldChar w:fldCharType="separate"/>
      </w:r>
      <w:hyperlink w:anchor="_Toc230006797" w:history="1">
        <w:r w:rsidR="007653B4" w:rsidRPr="007653B4">
          <w:rPr>
            <w:rStyle w:val="Hypertextovodkaz"/>
            <w:rFonts w:eastAsia="Calibri"/>
            <w:bCs/>
            <w:noProof/>
          </w:rPr>
          <w:t>Tabulka 1: Zákonné limity úplat u jednotlivých druhů fondů</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_Toc230006797 \h </w:instrText>
        </w:r>
        <w:r w:rsidR="007653B4" w:rsidRPr="007653B4">
          <w:rPr>
            <w:noProof/>
            <w:webHidden/>
          </w:rPr>
        </w:r>
        <w:r w:rsidR="007653B4" w:rsidRPr="007653B4">
          <w:rPr>
            <w:noProof/>
            <w:webHidden/>
          </w:rPr>
          <w:fldChar w:fldCharType="separate"/>
        </w:r>
        <w:r w:rsidR="00395AFE">
          <w:rPr>
            <w:noProof/>
            <w:webHidden/>
          </w:rPr>
          <w:t>5</w:t>
        </w:r>
        <w:r w:rsidR="007653B4" w:rsidRPr="007653B4">
          <w:rPr>
            <w:noProof/>
            <w:webHidden/>
          </w:rPr>
          <w:fldChar w:fldCharType="end"/>
        </w:r>
      </w:hyperlink>
    </w:p>
    <w:p w14:paraId="1ED04A49" w14:textId="459699FE"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798" w:history="1">
        <w:r w:rsidR="007653B4" w:rsidRPr="007653B4">
          <w:rPr>
            <w:rStyle w:val="Hypertextovodkaz"/>
            <w:noProof/>
          </w:rPr>
          <w:t>Tabulka 2: Seznam dotčených subjektů</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_Toc230006798 \h </w:instrText>
        </w:r>
        <w:r w:rsidR="007653B4" w:rsidRPr="007653B4">
          <w:rPr>
            <w:noProof/>
            <w:webHidden/>
          </w:rPr>
        </w:r>
        <w:r w:rsidR="007653B4" w:rsidRPr="007653B4">
          <w:rPr>
            <w:noProof/>
            <w:webHidden/>
          </w:rPr>
          <w:fldChar w:fldCharType="separate"/>
        </w:r>
        <w:r w:rsidR="00395AFE">
          <w:rPr>
            <w:noProof/>
            <w:webHidden/>
          </w:rPr>
          <w:t>6</w:t>
        </w:r>
        <w:r w:rsidR="007653B4" w:rsidRPr="007653B4">
          <w:rPr>
            <w:noProof/>
            <w:webHidden/>
          </w:rPr>
          <w:fldChar w:fldCharType="end"/>
        </w:r>
      </w:hyperlink>
    </w:p>
    <w:p w14:paraId="37BEA53E" w14:textId="6BCD3A5B"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799" w:history="1">
        <w:r w:rsidR="007653B4" w:rsidRPr="007653B4">
          <w:rPr>
            <w:rStyle w:val="Hypertextovodkaz"/>
            <w:rFonts w:eastAsia="Calibri"/>
            <w:bCs/>
            <w:noProof/>
          </w:rPr>
          <w:t>Tabulka 3: Zákonné limity úplat u jednotlivých druhů fondů</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_Toc230006799 \h </w:instrText>
        </w:r>
        <w:r w:rsidR="007653B4" w:rsidRPr="007653B4">
          <w:rPr>
            <w:noProof/>
            <w:webHidden/>
          </w:rPr>
        </w:r>
        <w:r w:rsidR="007653B4" w:rsidRPr="007653B4">
          <w:rPr>
            <w:noProof/>
            <w:webHidden/>
          </w:rPr>
          <w:fldChar w:fldCharType="separate"/>
        </w:r>
        <w:r w:rsidR="00395AFE">
          <w:rPr>
            <w:noProof/>
            <w:webHidden/>
          </w:rPr>
          <w:t>8</w:t>
        </w:r>
        <w:r w:rsidR="007653B4" w:rsidRPr="007653B4">
          <w:rPr>
            <w:noProof/>
            <w:webHidden/>
          </w:rPr>
          <w:fldChar w:fldCharType="end"/>
        </w:r>
      </w:hyperlink>
    </w:p>
    <w:p w14:paraId="27D60362" w14:textId="5A0711C3"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0" w:history="1">
        <w:r w:rsidR="007653B4" w:rsidRPr="007653B4">
          <w:rPr>
            <w:rStyle w:val="Hypertextovodkaz"/>
            <w:rFonts w:eastAsia="Calibri"/>
            <w:bCs/>
            <w:noProof/>
          </w:rPr>
          <w:t>Tabulka 4: Maximální zákonné limity a celkové uplatňované úplaty penzijních společností</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_Toc230006800 \h </w:instrText>
        </w:r>
        <w:r w:rsidR="007653B4" w:rsidRPr="007653B4">
          <w:rPr>
            <w:noProof/>
            <w:webHidden/>
          </w:rPr>
        </w:r>
        <w:r w:rsidR="007653B4" w:rsidRPr="007653B4">
          <w:rPr>
            <w:noProof/>
            <w:webHidden/>
          </w:rPr>
          <w:fldChar w:fldCharType="separate"/>
        </w:r>
        <w:r w:rsidR="00395AFE">
          <w:rPr>
            <w:noProof/>
            <w:webHidden/>
          </w:rPr>
          <w:t>9</w:t>
        </w:r>
        <w:r w:rsidR="007653B4" w:rsidRPr="007653B4">
          <w:rPr>
            <w:noProof/>
            <w:webHidden/>
          </w:rPr>
          <w:fldChar w:fldCharType="end"/>
        </w:r>
      </w:hyperlink>
    </w:p>
    <w:p w14:paraId="584C817E" w14:textId="57BFE436"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1" w:history="1">
        <w:r w:rsidR="007653B4" w:rsidRPr="007653B4">
          <w:rPr>
            <w:rStyle w:val="Hypertextovodkaz"/>
            <w:rFonts w:eastAsia="Calibri"/>
            <w:bCs/>
            <w:noProof/>
          </w:rPr>
          <w:t>Tabulka 5: Vymezené varianty úpravy limitů na úplatu penzijních společností</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_Toc230006801 \h </w:instrText>
        </w:r>
        <w:r w:rsidR="007653B4" w:rsidRPr="007653B4">
          <w:rPr>
            <w:noProof/>
            <w:webHidden/>
          </w:rPr>
        </w:r>
        <w:r w:rsidR="007653B4" w:rsidRPr="007653B4">
          <w:rPr>
            <w:noProof/>
            <w:webHidden/>
          </w:rPr>
          <w:fldChar w:fldCharType="separate"/>
        </w:r>
        <w:r w:rsidR="00395AFE">
          <w:rPr>
            <w:noProof/>
            <w:webHidden/>
          </w:rPr>
          <w:t>10</w:t>
        </w:r>
        <w:r w:rsidR="007653B4" w:rsidRPr="007653B4">
          <w:rPr>
            <w:noProof/>
            <w:webHidden/>
          </w:rPr>
          <w:fldChar w:fldCharType="end"/>
        </w:r>
      </w:hyperlink>
    </w:p>
    <w:p w14:paraId="0A10B623" w14:textId="3C58425F"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2" w:history="1">
        <w:r w:rsidR="007653B4" w:rsidRPr="007653B4">
          <w:rPr>
            <w:rStyle w:val="Hypertextovodkaz"/>
            <w:rFonts w:eastAsia="Calibri"/>
            <w:bCs/>
            <w:noProof/>
          </w:rPr>
          <w:t>Tabulka 6: Vliv nastavení úplat v jednotlivých variantách na snížení konečné naspořené částky</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_Toc230006802 \h </w:instrText>
        </w:r>
        <w:r w:rsidR="007653B4" w:rsidRPr="007653B4">
          <w:rPr>
            <w:noProof/>
            <w:webHidden/>
          </w:rPr>
        </w:r>
        <w:r w:rsidR="007653B4" w:rsidRPr="007653B4">
          <w:rPr>
            <w:noProof/>
            <w:webHidden/>
          </w:rPr>
          <w:fldChar w:fldCharType="separate"/>
        </w:r>
        <w:r w:rsidR="00395AFE">
          <w:rPr>
            <w:noProof/>
            <w:webHidden/>
          </w:rPr>
          <w:t>12</w:t>
        </w:r>
        <w:r w:rsidR="007653B4" w:rsidRPr="007653B4">
          <w:rPr>
            <w:noProof/>
            <w:webHidden/>
          </w:rPr>
          <w:fldChar w:fldCharType="end"/>
        </w:r>
      </w:hyperlink>
    </w:p>
    <w:p w14:paraId="3E281DC1" w14:textId="2BB5520E"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3" w:history="1">
        <w:r w:rsidR="007653B4" w:rsidRPr="007653B4">
          <w:rPr>
            <w:rStyle w:val="Hypertextovodkaz"/>
            <w:rFonts w:eastAsia="Calibri"/>
            <w:bCs/>
            <w:noProof/>
          </w:rPr>
          <w:t>Tabulka 7: Vyhodnocení dopadů uvažovaných variant řešení snížení limitů na úplatu penzijních společností</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_Toc230006803 \h </w:instrText>
        </w:r>
        <w:r w:rsidR="007653B4" w:rsidRPr="007653B4">
          <w:rPr>
            <w:noProof/>
            <w:webHidden/>
          </w:rPr>
        </w:r>
        <w:r w:rsidR="007653B4" w:rsidRPr="007653B4">
          <w:rPr>
            <w:noProof/>
            <w:webHidden/>
          </w:rPr>
          <w:fldChar w:fldCharType="separate"/>
        </w:r>
        <w:r w:rsidR="00395AFE">
          <w:rPr>
            <w:noProof/>
            <w:webHidden/>
          </w:rPr>
          <w:t>15</w:t>
        </w:r>
        <w:r w:rsidR="007653B4" w:rsidRPr="007653B4">
          <w:rPr>
            <w:noProof/>
            <w:webHidden/>
          </w:rPr>
          <w:fldChar w:fldCharType="end"/>
        </w:r>
      </w:hyperlink>
    </w:p>
    <w:p w14:paraId="240A4211" w14:textId="48142D7A"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4" w:history="1">
        <w:r w:rsidR="007653B4" w:rsidRPr="007653B4">
          <w:rPr>
            <w:rStyle w:val="Hypertextovodkaz"/>
            <w:rFonts w:eastAsia="Calibri"/>
            <w:bCs/>
            <w:noProof/>
          </w:rPr>
          <w:t>Tabulka 8: Dopady uvažovaných variant řešení snížení podmínky nároku na státní příspěvek spočívající v minimální výši příspěvku účastníka u nezletilých účastníků na státní rozpočet</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_Toc230006804 \h </w:instrText>
        </w:r>
        <w:r w:rsidR="007653B4" w:rsidRPr="007653B4">
          <w:rPr>
            <w:noProof/>
            <w:webHidden/>
          </w:rPr>
        </w:r>
        <w:r w:rsidR="007653B4" w:rsidRPr="007653B4">
          <w:rPr>
            <w:noProof/>
            <w:webHidden/>
          </w:rPr>
          <w:fldChar w:fldCharType="separate"/>
        </w:r>
        <w:r w:rsidR="00395AFE">
          <w:rPr>
            <w:noProof/>
            <w:webHidden/>
          </w:rPr>
          <w:t>18</w:t>
        </w:r>
        <w:r w:rsidR="007653B4" w:rsidRPr="007653B4">
          <w:rPr>
            <w:noProof/>
            <w:webHidden/>
          </w:rPr>
          <w:fldChar w:fldCharType="end"/>
        </w:r>
      </w:hyperlink>
    </w:p>
    <w:p w14:paraId="38954E8F" w14:textId="05E123E5"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5" w:history="1">
        <w:r w:rsidR="007653B4" w:rsidRPr="007653B4">
          <w:rPr>
            <w:rStyle w:val="Hypertextovodkaz"/>
            <w:rFonts w:eastAsia="Calibri"/>
            <w:bCs/>
            <w:noProof/>
          </w:rPr>
          <w:t>Tabulka 9: Vyhodnocení dopadů uvažovaných variant řešení snížení podmínky nároku na státní příspěvek spočívající v minimální výši příspěvku účastníka u nezletilých účastníků</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_Toc230006805 \h </w:instrText>
        </w:r>
        <w:r w:rsidR="007653B4" w:rsidRPr="007653B4">
          <w:rPr>
            <w:noProof/>
            <w:webHidden/>
          </w:rPr>
        </w:r>
        <w:r w:rsidR="007653B4" w:rsidRPr="007653B4">
          <w:rPr>
            <w:noProof/>
            <w:webHidden/>
          </w:rPr>
          <w:fldChar w:fldCharType="separate"/>
        </w:r>
        <w:r w:rsidR="00395AFE">
          <w:rPr>
            <w:noProof/>
            <w:webHidden/>
          </w:rPr>
          <w:t>19</w:t>
        </w:r>
        <w:r w:rsidR="007653B4" w:rsidRPr="007653B4">
          <w:rPr>
            <w:noProof/>
            <w:webHidden/>
          </w:rPr>
          <w:fldChar w:fldCharType="end"/>
        </w:r>
      </w:hyperlink>
    </w:p>
    <w:p w14:paraId="52F38942" w14:textId="012DE786"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6" w:history="1">
        <w:r w:rsidR="007653B4" w:rsidRPr="007653B4">
          <w:rPr>
            <w:rStyle w:val="Hypertextovodkaz"/>
            <w:rFonts w:eastAsia="Calibri"/>
            <w:bCs/>
            <w:noProof/>
          </w:rPr>
          <w:t>Tabulka 10: Penetrace penzijního připojištění a doplňkového penzijního spoření dle věkových kategorií k 31. 12. 2024</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_Toc230006806 \h </w:instrText>
        </w:r>
        <w:r w:rsidR="007653B4" w:rsidRPr="007653B4">
          <w:rPr>
            <w:noProof/>
            <w:webHidden/>
          </w:rPr>
        </w:r>
        <w:r w:rsidR="007653B4" w:rsidRPr="007653B4">
          <w:rPr>
            <w:noProof/>
            <w:webHidden/>
          </w:rPr>
          <w:fldChar w:fldCharType="separate"/>
        </w:r>
        <w:r w:rsidR="00395AFE">
          <w:rPr>
            <w:noProof/>
            <w:webHidden/>
          </w:rPr>
          <w:t>21</w:t>
        </w:r>
        <w:r w:rsidR="007653B4" w:rsidRPr="007653B4">
          <w:rPr>
            <w:noProof/>
            <w:webHidden/>
          </w:rPr>
          <w:fldChar w:fldCharType="end"/>
        </w:r>
      </w:hyperlink>
    </w:p>
    <w:p w14:paraId="63E5837D" w14:textId="43E309A4"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7" w:history="1">
        <w:r w:rsidR="007653B4" w:rsidRPr="007653B4">
          <w:rPr>
            <w:rStyle w:val="Hypertextovodkaz"/>
            <w:rFonts w:eastAsia="Calibri"/>
            <w:bCs/>
            <w:noProof/>
          </w:rPr>
          <w:t>Tabulka 11: Výdaje státního rozpočtu v roce 2028 v závislosti na dodatečném navýšení mezičtvrtletního tempa růstu počtu účastníků ve věku 0 až 17 let s evidovaným příspěvkem v letech 2027 a 2028 při různém nastavení procentuální výše státního příspěvku</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_Toc230006807 \h </w:instrText>
        </w:r>
        <w:r w:rsidR="007653B4" w:rsidRPr="007653B4">
          <w:rPr>
            <w:noProof/>
            <w:webHidden/>
          </w:rPr>
        </w:r>
        <w:r w:rsidR="007653B4" w:rsidRPr="007653B4">
          <w:rPr>
            <w:noProof/>
            <w:webHidden/>
          </w:rPr>
          <w:fldChar w:fldCharType="separate"/>
        </w:r>
        <w:r w:rsidR="00395AFE">
          <w:rPr>
            <w:noProof/>
            <w:webHidden/>
          </w:rPr>
          <w:t>24</w:t>
        </w:r>
        <w:r w:rsidR="007653B4" w:rsidRPr="007653B4">
          <w:rPr>
            <w:noProof/>
            <w:webHidden/>
          </w:rPr>
          <w:fldChar w:fldCharType="end"/>
        </w:r>
      </w:hyperlink>
    </w:p>
    <w:p w14:paraId="76F23C6E" w14:textId="1365D53A"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8" w:history="1">
        <w:r w:rsidR="007653B4" w:rsidRPr="007653B4">
          <w:rPr>
            <w:rStyle w:val="Hypertextovodkaz"/>
            <w:rFonts w:eastAsia="Calibri"/>
            <w:bCs/>
            <w:noProof/>
          </w:rPr>
          <w:t>Tabulka 12: Počet účastníků a penetrace DPS na konci roku 2028 dle dodatečného navýšení mezičtvrtletního tempa růstu počtu účastníků ve věku 0 až 17 let s evidovaným příspěvkem v letech 2027 a 2028</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_Toc230006808 \h </w:instrText>
        </w:r>
        <w:r w:rsidR="007653B4" w:rsidRPr="007653B4">
          <w:rPr>
            <w:noProof/>
            <w:webHidden/>
          </w:rPr>
        </w:r>
        <w:r w:rsidR="007653B4" w:rsidRPr="007653B4">
          <w:rPr>
            <w:noProof/>
            <w:webHidden/>
          </w:rPr>
          <w:fldChar w:fldCharType="separate"/>
        </w:r>
        <w:r w:rsidR="00395AFE">
          <w:rPr>
            <w:noProof/>
            <w:webHidden/>
          </w:rPr>
          <w:t>25</w:t>
        </w:r>
        <w:r w:rsidR="007653B4" w:rsidRPr="007653B4">
          <w:rPr>
            <w:noProof/>
            <w:webHidden/>
          </w:rPr>
          <w:fldChar w:fldCharType="end"/>
        </w:r>
      </w:hyperlink>
    </w:p>
    <w:p w14:paraId="460548FD" w14:textId="42BED65A"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09" w:history="1">
        <w:r w:rsidR="007653B4" w:rsidRPr="007653B4">
          <w:rPr>
            <w:rStyle w:val="Hypertextovodkaz"/>
            <w:rFonts w:eastAsia="Calibri"/>
            <w:bCs/>
            <w:noProof/>
          </w:rPr>
          <w:t>Tabulka 13: Výdaje státního rozpočtu v roce 2028 v závislosti na průměrném mezičtvrtletním tempu růstu počtu účastníků ve věku 18 až 29 let s evidovaným příspěvkem v letech 2027 a 2028 při různém nastavení procentuální výše státního příspěvku</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_Toc230006809 \h </w:instrText>
        </w:r>
        <w:r w:rsidR="007653B4" w:rsidRPr="007653B4">
          <w:rPr>
            <w:noProof/>
            <w:webHidden/>
          </w:rPr>
        </w:r>
        <w:r w:rsidR="007653B4" w:rsidRPr="007653B4">
          <w:rPr>
            <w:noProof/>
            <w:webHidden/>
          </w:rPr>
          <w:fldChar w:fldCharType="separate"/>
        </w:r>
        <w:r w:rsidR="00395AFE">
          <w:rPr>
            <w:noProof/>
            <w:webHidden/>
          </w:rPr>
          <w:t>26</w:t>
        </w:r>
        <w:r w:rsidR="007653B4" w:rsidRPr="007653B4">
          <w:rPr>
            <w:noProof/>
            <w:webHidden/>
          </w:rPr>
          <w:fldChar w:fldCharType="end"/>
        </w:r>
      </w:hyperlink>
    </w:p>
    <w:p w14:paraId="53CDE3A8" w14:textId="506E4121"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10" w:history="1">
        <w:r w:rsidR="007653B4" w:rsidRPr="007653B4">
          <w:rPr>
            <w:rStyle w:val="Hypertextovodkaz"/>
            <w:rFonts w:eastAsia="Calibri"/>
            <w:bCs/>
            <w:noProof/>
          </w:rPr>
          <w:t>Tabulka 14: Počet účastníků a penetrace DPS na konci roku 2028 dle průměrného tempa růstu počtu účastníků ve věku 18 až 29 let s evidovaným příspěvkem v letech 2027 a 2028</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_Toc230006810 \h </w:instrText>
        </w:r>
        <w:r w:rsidR="007653B4" w:rsidRPr="007653B4">
          <w:rPr>
            <w:noProof/>
            <w:webHidden/>
          </w:rPr>
        </w:r>
        <w:r w:rsidR="007653B4" w:rsidRPr="007653B4">
          <w:rPr>
            <w:noProof/>
            <w:webHidden/>
          </w:rPr>
          <w:fldChar w:fldCharType="separate"/>
        </w:r>
        <w:r w:rsidR="00395AFE">
          <w:rPr>
            <w:noProof/>
            <w:webHidden/>
          </w:rPr>
          <w:t>27</w:t>
        </w:r>
        <w:r w:rsidR="007653B4" w:rsidRPr="007653B4">
          <w:rPr>
            <w:noProof/>
            <w:webHidden/>
          </w:rPr>
          <w:fldChar w:fldCharType="end"/>
        </w:r>
      </w:hyperlink>
    </w:p>
    <w:p w14:paraId="1CA38464" w14:textId="254770BA"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11" w:history="1">
        <w:r w:rsidR="007653B4" w:rsidRPr="007653B4">
          <w:rPr>
            <w:rStyle w:val="Hypertextovodkaz"/>
            <w:rFonts w:eastAsia="Calibri"/>
            <w:bCs/>
            <w:noProof/>
          </w:rPr>
          <w:t>Tabulka 15: Celkové odhadované navýšení výdajů státního rozpočtu</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_Toc230006811 \h </w:instrText>
        </w:r>
        <w:r w:rsidR="007653B4" w:rsidRPr="007653B4">
          <w:rPr>
            <w:noProof/>
            <w:webHidden/>
          </w:rPr>
        </w:r>
        <w:r w:rsidR="007653B4" w:rsidRPr="007653B4">
          <w:rPr>
            <w:noProof/>
            <w:webHidden/>
          </w:rPr>
          <w:fldChar w:fldCharType="separate"/>
        </w:r>
        <w:r w:rsidR="00395AFE">
          <w:rPr>
            <w:noProof/>
            <w:webHidden/>
          </w:rPr>
          <w:t>28</w:t>
        </w:r>
        <w:r w:rsidR="007653B4" w:rsidRPr="007653B4">
          <w:rPr>
            <w:noProof/>
            <w:webHidden/>
          </w:rPr>
          <w:fldChar w:fldCharType="end"/>
        </w:r>
      </w:hyperlink>
    </w:p>
    <w:p w14:paraId="481ABA6F" w14:textId="33127F38"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12" w:history="1">
        <w:r w:rsidR="007653B4" w:rsidRPr="007653B4">
          <w:rPr>
            <w:rStyle w:val="Hypertextovodkaz"/>
            <w:rFonts w:eastAsia="Calibri"/>
            <w:bCs/>
            <w:noProof/>
          </w:rPr>
          <w:t>Tabulka 16: Vyhodnocení dopadů uvažovaných variant řešení poskytování procentuálně vyššího státního příspěvku mladým dospělým účastníkům</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_Toc230006812 \h </w:instrText>
        </w:r>
        <w:r w:rsidR="007653B4" w:rsidRPr="007653B4">
          <w:rPr>
            <w:noProof/>
            <w:webHidden/>
          </w:rPr>
        </w:r>
        <w:r w:rsidR="007653B4" w:rsidRPr="007653B4">
          <w:rPr>
            <w:noProof/>
            <w:webHidden/>
          </w:rPr>
          <w:fldChar w:fldCharType="separate"/>
        </w:r>
        <w:r w:rsidR="00395AFE">
          <w:rPr>
            <w:noProof/>
            <w:webHidden/>
          </w:rPr>
          <w:t>28</w:t>
        </w:r>
        <w:r w:rsidR="007653B4" w:rsidRPr="007653B4">
          <w:rPr>
            <w:noProof/>
            <w:webHidden/>
          </w:rPr>
          <w:fldChar w:fldCharType="end"/>
        </w:r>
      </w:hyperlink>
    </w:p>
    <w:p w14:paraId="446F0074" w14:textId="31FE8A44" w:rsidR="007653B4" w:rsidRPr="007653B4"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30006813" w:history="1">
        <w:r w:rsidR="007653B4" w:rsidRPr="007653B4">
          <w:rPr>
            <w:rStyle w:val="Hypertextovodkaz"/>
            <w:noProof/>
          </w:rPr>
          <w:t>Tabulka 17: Shrnutí nejvhodnějšího řešení</w:t>
        </w:r>
        <w:r w:rsidR="007653B4" w:rsidRPr="007653B4">
          <w:rPr>
            <w:noProof/>
            <w:webHidden/>
          </w:rPr>
          <w:tab/>
        </w:r>
        <w:r w:rsidR="007653B4" w:rsidRPr="007653B4">
          <w:rPr>
            <w:noProof/>
            <w:webHidden/>
          </w:rPr>
          <w:fldChar w:fldCharType="begin"/>
        </w:r>
        <w:r w:rsidR="007653B4" w:rsidRPr="007653B4">
          <w:rPr>
            <w:noProof/>
            <w:webHidden/>
          </w:rPr>
          <w:instrText xml:space="preserve"> PAGEREF _Toc230006813 \h </w:instrText>
        </w:r>
        <w:r w:rsidR="007653B4" w:rsidRPr="007653B4">
          <w:rPr>
            <w:noProof/>
            <w:webHidden/>
          </w:rPr>
        </w:r>
        <w:r w:rsidR="007653B4" w:rsidRPr="007653B4">
          <w:rPr>
            <w:noProof/>
            <w:webHidden/>
          </w:rPr>
          <w:fldChar w:fldCharType="separate"/>
        </w:r>
        <w:r w:rsidR="00395AFE">
          <w:rPr>
            <w:noProof/>
            <w:webHidden/>
          </w:rPr>
          <w:t>29</w:t>
        </w:r>
        <w:r w:rsidR="007653B4" w:rsidRPr="007653B4">
          <w:rPr>
            <w:noProof/>
            <w:webHidden/>
          </w:rPr>
          <w:fldChar w:fldCharType="end"/>
        </w:r>
      </w:hyperlink>
    </w:p>
    <w:p w14:paraId="71712A98" w14:textId="77777777" w:rsidR="00522E8A" w:rsidRDefault="00522E8A" w:rsidP="007653B4">
      <w:pPr>
        <w:spacing w:after="120" w:line="240" w:lineRule="auto"/>
        <w:rPr>
          <w:noProof/>
        </w:rPr>
      </w:pPr>
      <w:r w:rsidRPr="007653B4">
        <w:fldChar w:fldCharType="end"/>
      </w:r>
      <w:r>
        <w:fldChar w:fldCharType="begin"/>
      </w:r>
      <w:r>
        <w:instrText xml:space="preserve"> TOC \h \z \c "Graf" </w:instrText>
      </w:r>
      <w:r>
        <w:fldChar w:fldCharType="separate"/>
      </w:r>
    </w:p>
    <w:p w14:paraId="1D7BFBDD" w14:textId="3AE18042" w:rsidR="00522E8A" w:rsidRPr="00522E8A"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29664378" w:history="1">
        <w:r w:rsidR="00522E8A" w:rsidRPr="00522E8A">
          <w:rPr>
            <w:rStyle w:val="Hypertextovodkaz"/>
            <w:rFonts w:eastAsia="Calibri"/>
            <w:bCs/>
            <w:noProof/>
          </w:rPr>
          <w:t>Graf 1: Úplaty vyplacené penzijním společnostem transformovanými a účastnickými fondy</w:t>
        </w:r>
        <w:r w:rsidR="00522E8A" w:rsidRPr="00522E8A">
          <w:rPr>
            <w:noProof/>
            <w:webHidden/>
          </w:rPr>
          <w:tab/>
        </w:r>
        <w:r w:rsidR="00522E8A" w:rsidRPr="00522E8A">
          <w:rPr>
            <w:noProof/>
            <w:webHidden/>
          </w:rPr>
          <w:fldChar w:fldCharType="begin"/>
        </w:r>
        <w:r w:rsidR="00522E8A" w:rsidRPr="00522E8A">
          <w:rPr>
            <w:noProof/>
            <w:webHidden/>
          </w:rPr>
          <w:instrText xml:space="preserve"> PAGEREF _Toc229664378 \h </w:instrText>
        </w:r>
        <w:r w:rsidR="00522E8A" w:rsidRPr="00522E8A">
          <w:rPr>
            <w:noProof/>
            <w:webHidden/>
          </w:rPr>
        </w:r>
        <w:r w:rsidR="00522E8A" w:rsidRPr="00522E8A">
          <w:rPr>
            <w:noProof/>
            <w:webHidden/>
          </w:rPr>
          <w:fldChar w:fldCharType="separate"/>
        </w:r>
        <w:r w:rsidR="00395AFE">
          <w:rPr>
            <w:noProof/>
            <w:webHidden/>
          </w:rPr>
          <w:t>8</w:t>
        </w:r>
        <w:r w:rsidR="00522E8A" w:rsidRPr="00522E8A">
          <w:rPr>
            <w:noProof/>
            <w:webHidden/>
          </w:rPr>
          <w:fldChar w:fldCharType="end"/>
        </w:r>
      </w:hyperlink>
    </w:p>
    <w:p w14:paraId="3879FD77" w14:textId="1AA1792F" w:rsidR="00522E8A" w:rsidRPr="00522E8A"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29664379" w:history="1">
        <w:r w:rsidR="00522E8A" w:rsidRPr="00522E8A">
          <w:rPr>
            <w:rStyle w:val="Hypertextovodkaz"/>
            <w:rFonts w:eastAsia="Calibri"/>
            <w:bCs/>
            <w:noProof/>
          </w:rPr>
          <w:t>Graf 2: Úplaty, zisk a podíl kapitálu ke kapitálovým požadavkům penzijních společností</w:t>
        </w:r>
        <w:r w:rsidR="00522E8A" w:rsidRPr="00522E8A">
          <w:rPr>
            <w:noProof/>
            <w:webHidden/>
          </w:rPr>
          <w:tab/>
        </w:r>
        <w:r w:rsidR="00522E8A" w:rsidRPr="00522E8A">
          <w:rPr>
            <w:noProof/>
            <w:webHidden/>
          </w:rPr>
          <w:fldChar w:fldCharType="begin"/>
        </w:r>
        <w:r w:rsidR="00522E8A" w:rsidRPr="00522E8A">
          <w:rPr>
            <w:noProof/>
            <w:webHidden/>
          </w:rPr>
          <w:instrText xml:space="preserve"> PAGEREF _Toc229664379 \h </w:instrText>
        </w:r>
        <w:r w:rsidR="00522E8A" w:rsidRPr="00522E8A">
          <w:rPr>
            <w:noProof/>
            <w:webHidden/>
          </w:rPr>
        </w:r>
        <w:r w:rsidR="00522E8A" w:rsidRPr="00522E8A">
          <w:rPr>
            <w:noProof/>
            <w:webHidden/>
          </w:rPr>
          <w:fldChar w:fldCharType="separate"/>
        </w:r>
        <w:r w:rsidR="00395AFE">
          <w:rPr>
            <w:noProof/>
            <w:webHidden/>
          </w:rPr>
          <w:t>9</w:t>
        </w:r>
        <w:r w:rsidR="00522E8A" w:rsidRPr="00522E8A">
          <w:rPr>
            <w:noProof/>
            <w:webHidden/>
          </w:rPr>
          <w:fldChar w:fldCharType="end"/>
        </w:r>
      </w:hyperlink>
    </w:p>
    <w:p w14:paraId="3AFD9034" w14:textId="50D7F914" w:rsidR="00522E8A" w:rsidRPr="00522E8A"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29664380" w:history="1">
        <w:r w:rsidR="00522E8A" w:rsidRPr="00522E8A">
          <w:rPr>
            <w:rStyle w:val="Hypertextovodkaz"/>
            <w:rFonts w:eastAsia="Calibri"/>
            <w:bCs/>
            <w:noProof/>
          </w:rPr>
          <w:t>Graf 3: Celkové náklady vůči objemu spravovaného majetku u jednotlivých penzijních společností</w:t>
        </w:r>
        <w:r w:rsidR="00522E8A" w:rsidRPr="00522E8A">
          <w:rPr>
            <w:noProof/>
            <w:webHidden/>
          </w:rPr>
          <w:tab/>
        </w:r>
        <w:r w:rsidR="00522E8A" w:rsidRPr="00522E8A">
          <w:rPr>
            <w:noProof/>
            <w:webHidden/>
          </w:rPr>
          <w:fldChar w:fldCharType="begin"/>
        </w:r>
        <w:r w:rsidR="00522E8A" w:rsidRPr="00522E8A">
          <w:rPr>
            <w:noProof/>
            <w:webHidden/>
          </w:rPr>
          <w:instrText xml:space="preserve"> PAGEREF _Toc229664380 \h </w:instrText>
        </w:r>
        <w:r w:rsidR="00522E8A" w:rsidRPr="00522E8A">
          <w:rPr>
            <w:noProof/>
            <w:webHidden/>
          </w:rPr>
        </w:r>
        <w:r w:rsidR="00522E8A" w:rsidRPr="00522E8A">
          <w:rPr>
            <w:noProof/>
            <w:webHidden/>
          </w:rPr>
          <w:fldChar w:fldCharType="separate"/>
        </w:r>
        <w:r w:rsidR="00395AFE">
          <w:rPr>
            <w:noProof/>
            <w:webHidden/>
          </w:rPr>
          <w:t>13</w:t>
        </w:r>
        <w:r w:rsidR="00522E8A" w:rsidRPr="00522E8A">
          <w:rPr>
            <w:noProof/>
            <w:webHidden/>
          </w:rPr>
          <w:fldChar w:fldCharType="end"/>
        </w:r>
      </w:hyperlink>
    </w:p>
    <w:p w14:paraId="2C91E9CB" w14:textId="03121977" w:rsidR="00522E8A" w:rsidRPr="00522E8A" w:rsidRDefault="00C904AE" w:rsidP="007653B4">
      <w:pPr>
        <w:pStyle w:val="Seznamobrzk"/>
        <w:tabs>
          <w:tab w:val="right" w:leader="dot" w:pos="9062"/>
        </w:tabs>
        <w:spacing w:after="120" w:line="240" w:lineRule="auto"/>
        <w:rPr>
          <w:rFonts w:asciiTheme="minorHAnsi" w:eastAsiaTheme="minorEastAsia" w:hAnsiTheme="minorHAnsi" w:cstheme="minorBidi"/>
          <w:noProof/>
          <w:lang w:eastAsia="cs-CZ"/>
        </w:rPr>
      </w:pPr>
      <w:hyperlink w:anchor="_Toc229664381" w:history="1">
        <w:r w:rsidR="00522E8A" w:rsidRPr="00522E8A">
          <w:rPr>
            <w:rStyle w:val="Hypertextovodkaz"/>
            <w:rFonts w:eastAsia="Calibri"/>
            <w:bCs/>
            <w:noProof/>
          </w:rPr>
          <w:t>Graf 4: Náklady na provoz vůči objemu spravovaného majetku u jednotlivých penzijních společností</w:t>
        </w:r>
        <w:r w:rsidR="00522E8A" w:rsidRPr="00522E8A">
          <w:rPr>
            <w:noProof/>
            <w:webHidden/>
          </w:rPr>
          <w:tab/>
        </w:r>
        <w:r w:rsidR="00522E8A" w:rsidRPr="00522E8A">
          <w:rPr>
            <w:noProof/>
            <w:webHidden/>
          </w:rPr>
          <w:fldChar w:fldCharType="begin"/>
        </w:r>
        <w:r w:rsidR="00522E8A" w:rsidRPr="00522E8A">
          <w:rPr>
            <w:noProof/>
            <w:webHidden/>
          </w:rPr>
          <w:instrText xml:space="preserve"> PAGEREF _Toc229664381 \h </w:instrText>
        </w:r>
        <w:r w:rsidR="00522E8A" w:rsidRPr="00522E8A">
          <w:rPr>
            <w:noProof/>
            <w:webHidden/>
          </w:rPr>
        </w:r>
        <w:r w:rsidR="00522E8A" w:rsidRPr="00522E8A">
          <w:rPr>
            <w:noProof/>
            <w:webHidden/>
          </w:rPr>
          <w:fldChar w:fldCharType="separate"/>
        </w:r>
        <w:r w:rsidR="00395AFE">
          <w:rPr>
            <w:noProof/>
            <w:webHidden/>
          </w:rPr>
          <w:t>14</w:t>
        </w:r>
        <w:r w:rsidR="00522E8A" w:rsidRPr="00522E8A">
          <w:rPr>
            <w:noProof/>
            <w:webHidden/>
          </w:rPr>
          <w:fldChar w:fldCharType="end"/>
        </w:r>
      </w:hyperlink>
    </w:p>
    <w:p w14:paraId="74C2CE7C" w14:textId="015C2501" w:rsidR="00522E8A" w:rsidRDefault="00C904AE" w:rsidP="00462FDD">
      <w:pPr>
        <w:pStyle w:val="Seznamobrzk"/>
        <w:tabs>
          <w:tab w:val="right" w:leader="dot" w:pos="9062"/>
        </w:tabs>
        <w:spacing w:after="120" w:line="240" w:lineRule="auto"/>
      </w:pPr>
      <w:hyperlink w:anchor="_Toc229664382" w:history="1">
        <w:r w:rsidR="00522E8A" w:rsidRPr="00522E8A">
          <w:rPr>
            <w:rStyle w:val="Hypertextovodkaz"/>
            <w:rFonts w:eastAsia="Calibri"/>
            <w:bCs/>
            <w:noProof/>
          </w:rPr>
          <w:t>Graf 5: Náklady na správu portfolia vůči objemu spravovaného majetku u jednotlivých penzijních společností</w:t>
        </w:r>
        <w:r w:rsidR="00522E8A" w:rsidRPr="00522E8A">
          <w:rPr>
            <w:noProof/>
            <w:webHidden/>
          </w:rPr>
          <w:tab/>
        </w:r>
        <w:r w:rsidR="00522E8A" w:rsidRPr="00522E8A">
          <w:rPr>
            <w:noProof/>
            <w:webHidden/>
          </w:rPr>
          <w:fldChar w:fldCharType="begin"/>
        </w:r>
        <w:r w:rsidR="00522E8A" w:rsidRPr="00522E8A">
          <w:rPr>
            <w:noProof/>
            <w:webHidden/>
          </w:rPr>
          <w:instrText xml:space="preserve"> PAGEREF _Toc229664382 \h </w:instrText>
        </w:r>
        <w:r w:rsidR="00522E8A" w:rsidRPr="00522E8A">
          <w:rPr>
            <w:noProof/>
            <w:webHidden/>
          </w:rPr>
        </w:r>
        <w:r w:rsidR="00522E8A" w:rsidRPr="00522E8A">
          <w:rPr>
            <w:noProof/>
            <w:webHidden/>
          </w:rPr>
          <w:fldChar w:fldCharType="separate"/>
        </w:r>
        <w:r w:rsidR="00395AFE">
          <w:rPr>
            <w:noProof/>
            <w:webHidden/>
          </w:rPr>
          <w:t>14</w:t>
        </w:r>
        <w:r w:rsidR="00522E8A" w:rsidRPr="00522E8A">
          <w:rPr>
            <w:noProof/>
            <w:webHidden/>
          </w:rPr>
          <w:fldChar w:fldCharType="end"/>
        </w:r>
      </w:hyperlink>
      <w:r w:rsidR="00522E8A">
        <w:fldChar w:fldCharType="end"/>
      </w:r>
    </w:p>
    <w:p w14:paraId="70785EA9" w14:textId="77777777" w:rsidR="00E21739" w:rsidRPr="0044311D" w:rsidRDefault="00E21739" w:rsidP="00B7513F">
      <w:pPr>
        <w:pStyle w:val="Nadpis2"/>
      </w:pPr>
      <w:bookmarkStart w:id="282" w:name="_Toc8730958"/>
      <w:bookmarkStart w:id="283" w:name="_Toc11764034"/>
      <w:bookmarkStart w:id="284" w:name="_Toc24964576"/>
      <w:bookmarkStart w:id="285" w:name="_Toc190782552"/>
      <w:bookmarkStart w:id="286" w:name="_Toc202178979"/>
      <w:bookmarkStart w:id="287" w:name="_Toc227742410"/>
      <w:bookmarkStart w:id="288" w:name="_Toc229662669"/>
      <w:bookmarkStart w:id="289" w:name="_Toc231310651"/>
      <w:r w:rsidRPr="0044311D">
        <w:lastRenderedPageBreak/>
        <w:t>Seznam zkratek</w:t>
      </w:r>
      <w:bookmarkEnd w:id="282"/>
      <w:bookmarkEnd w:id="283"/>
      <w:bookmarkEnd w:id="284"/>
      <w:bookmarkEnd w:id="285"/>
      <w:bookmarkEnd w:id="286"/>
      <w:bookmarkEnd w:id="287"/>
      <w:bookmarkEnd w:id="288"/>
      <w:bookmarkEnd w:id="289"/>
    </w:p>
    <w:p w14:paraId="54D45DB9" w14:textId="77777777" w:rsidR="00291AC8" w:rsidRDefault="00291AC8" w:rsidP="00291AC8">
      <w:pPr>
        <w:pStyle w:val="Bezmezer"/>
        <w:spacing w:before="0"/>
        <w:ind w:left="1701" w:hanging="1701"/>
      </w:pPr>
      <w:r>
        <w:t>APS ČR</w:t>
      </w:r>
      <w:r>
        <w:tab/>
        <w:t>Asociace penzijních společností ČR</w:t>
      </w:r>
    </w:p>
    <w:p w14:paraId="721C646F" w14:textId="77777777" w:rsidR="00291AC8" w:rsidRDefault="00291AC8" w:rsidP="00291AC8">
      <w:pPr>
        <w:pStyle w:val="Bezmezer"/>
        <w:spacing w:before="0"/>
        <w:ind w:left="1701" w:hanging="1701"/>
      </w:pPr>
      <w:r>
        <w:t>ČNB</w:t>
      </w:r>
      <w:r>
        <w:tab/>
      </w:r>
      <w:r w:rsidRPr="00350203">
        <w:t>Česká národní banka</w:t>
      </w:r>
    </w:p>
    <w:p w14:paraId="4645FB8C" w14:textId="77777777" w:rsidR="00827B8D" w:rsidRDefault="00827B8D" w:rsidP="00291AC8">
      <w:pPr>
        <w:pStyle w:val="Bezmezer"/>
        <w:spacing w:before="0"/>
        <w:ind w:left="1701" w:hanging="1701"/>
      </w:pPr>
      <w:r>
        <w:t>ČR</w:t>
      </w:r>
      <w:r>
        <w:tab/>
        <w:t>Česká republika</w:t>
      </w:r>
    </w:p>
    <w:p w14:paraId="05D00234" w14:textId="77777777" w:rsidR="00291AC8" w:rsidRDefault="00291AC8" w:rsidP="00291AC8">
      <w:pPr>
        <w:pStyle w:val="Bezmezer"/>
        <w:spacing w:before="0"/>
        <w:ind w:left="1701" w:hanging="1701"/>
      </w:pPr>
      <w:r>
        <w:t>ČSÚ</w:t>
      </w:r>
      <w:r>
        <w:tab/>
        <w:t>Český statistický úřad</w:t>
      </w:r>
    </w:p>
    <w:p w14:paraId="17F13E4A" w14:textId="77777777" w:rsidR="00291AC8" w:rsidRDefault="00291AC8" w:rsidP="00291AC8">
      <w:pPr>
        <w:pStyle w:val="Bezmezer"/>
        <w:spacing w:before="0"/>
        <w:ind w:left="1701" w:hanging="1701"/>
      </w:pPr>
      <w:r>
        <w:t>DPS</w:t>
      </w:r>
      <w:r>
        <w:tab/>
      </w:r>
      <w:r w:rsidR="00827B8D">
        <w:t>d</w:t>
      </w:r>
      <w:r>
        <w:t>oplňkové penzijní spoření</w:t>
      </w:r>
    </w:p>
    <w:p w14:paraId="1CEF559B" w14:textId="77777777" w:rsidR="00291AC8" w:rsidRDefault="00291AC8" w:rsidP="00291AC8">
      <w:pPr>
        <w:pStyle w:val="Bezmezer"/>
        <w:spacing w:before="0"/>
        <w:ind w:left="1701" w:hanging="1701"/>
      </w:pPr>
      <w:r>
        <w:t>MF</w:t>
      </w:r>
      <w:r>
        <w:tab/>
        <w:t>Ministerstvo financí</w:t>
      </w:r>
    </w:p>
    <w:p w14:paraId="24B3E20B" w14:textId="77777777" w:rsidR="00827B8D" w:rsidRDefault="00827B8D" w:rsidP="00291AC8">
      <w:pPr>
        <w:pStyle w:val="Bezmezer"/>
        <w:spacing w:before="0"/>
        <w:ind w:left="1701" w:hanging="1701"/>
      </w:pPr>
      <w:r>
        <w:t xml:space="preserve">OECD </w:t>
      </w:r>
      <w:r>
        <w:tab/>
      </w:r>
      <w:r w:rsidR="0000325E" w:rsidRPr="0000325E">
        <w:t>Organizace pro hospodářskou spolupráci a rozvoj</w:t>
      </w:r>
    </w:p>
    <w:p w14:paraId="23F38575" w14:textId="77777777" w:rsidR="00827B8D" w:rsidRDefault="00827B8D" w:rsidP="00291AC8">
      <w:pPr>
        <w:pStyle w:val="Bezmezer"/>
        <w:spacing w:before="0"/>
        <w:ind w:left="1701" w:hanging="1701"/>
      </w:pPr>
      <w:r>
        <w:t>PKF</w:t>
      </w:r>
      <w:r>
        <w:tab/>
        <w:t>povinný konzervativní fond</w:t>
      </w:r>
    </w:p>
    <w:p w14:paraId="50539B97" w14:textId="77777777" w:rsidR="00291AC8" w:rsidRDefault="00291AC8" w:rsidP="00291AC8">
      <w:pPr>
        <w:pStyle w:val="Bezmezer"/>
        <w:spacing w:before="0"/>
        <w:ind w:left="1701" w:hanging="1701"/>
      </w:pPr>
      <w:r>
        <w:t>PP</w:t>
      </w:r>
      <w:r>
        <w:tab/>
      </w:r>
      <w:r w:rsidR="00827B8D">
        <w:t>p</w:t>
      </w:r>
      <w:r>
        <w:t>enzijní připojištění</w:t>
      </w:r>
    </w:p>
    <w:p w14:paraId="3284D1A3" w14:textId="77777777" w:rsidR="00827B8D" w:rsidRDefault="00827B8D" w:rsidP="00291AC8">
      <w:pPr>
        <w:pStyle w:val="Bezmezer"/>
        <w:spacing w:before="0"/>
        <w:ind w:left="1701" w:hanging="1701"/>
      </w:pPr>
      <w:r>
        <w:t>TF</w:t>
      </w:r>
      <w:r>
        <w:tab/>
        <w:t>transformovaný fond</w:t>
      </w:r>
    </w:p>
    <w:p w14:paraId="2C6B35A1" w14:textId="77777777" w:rsidR="006A7410" w:rsidRPr="00AA03E4" w:rsidRDefault="00291AC8" w:rsidP="00291AC8">
      <w:pPr>
        <w:jc w:val="both"/>
      </w:pPr>
      <w:r>
        <w:tab/>
      </w:r>
      <w:r>
        <w:tab/>
      </w:r>
      <w:r>
        <w:tab/>
      </w:r>
    </w:p>
    <w:p w14:paraId="27F52C0B" w14:textId="77777777" w:rsidR="00AA03E4" w:rsidRPr="00AA03E4" w:rsidRDefault="00AA03E4" w:rsidP="000C62E9">
      <w:pPr>
        <w:ind w:left="1701" w:hanging="1701"/>
        <w:jc w:val="both"/>
      </w:pPr>
    </w:p>
    <w:sectPr w:rsidR="00AA03E4" w:rsidRPr="00AA03E4" w:rsidSect="008D0578">
      <w:headerReference w:type="default" r:id="rId19"/>
      <w:footerReference w:type="default" r:id="rId20"/>
      <w:headerReference w:type="first" r:id="rId21"/>
      <w:pgSz w:w="11906" w:h="16838"/>
      <w:pgMar w:top="1417" w:right="1417" w:bottom="1417" w:left="1417" w:header="709" w:footer="709" w:gutter="0"/>
      <w:cols w:space="708"/>
      <w:formProt w:val="0"/>
      <w:titlePg/>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6DD98" w14:textId="77777777" w:rsidR="00423CF8" w:rsidRDefault="00423CF8">
      <w:pPr>
        <w:spacing w:after="0" w:line="240" w:lineRule="auto"/>
      </w:pPr>
      <w:r>
        <w:separator/>
      </w:r>
    </w:p>
  </w:endnote>
  <w:endnote w:type="continuationSeparator" w:id="0">
    <w:p w14:paraId="174CB5F9" w14:textId="77777777" w:rsidR="00423CF8" w:rsidRDefault="0042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Liberation Sans">
    <w:altName w:val="Times New Roman"/>
    <w:panose1 w:val="00000000000000000000"/>
    <w:charset w:val="00"/>
    <w:family w:val="auto"/>
    <w:notTrueType/>
    <w:pitch w:val="default"/>
    <w:sig w:usb0="00000003" w:usb1="00000000" w:usb2="00000000" w:usb3="00000000" w:csb0="00000001" w:csb1="00000000"/>
  </w:font>
  <w:font w:name="FreeSans">
    <w:altName w:val="Times New Roman"/>
    <w:panose1 w:val="00000000000000000000"/>
    <w:charset w:val="00"/>
    <w:family w:val="roman"/>
    <w:notTrueType/>
    <w:pitch w:val="default"/>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4E00D" w14:textId="7CEAE560" w:rsidR="0026376A" w:rsidRPr="00BC1CD1" w:rsidRDefault="0026376A" w:rsidP="00D7290E">
    <w:pPr>
      <w:pStyle w:val="Zpat"/>
      <w:jc w:val="center"/>
      <w:rPr>
        <w:color w:val="A6A6A6"/>
        <w:sz w:val="18"/>
      </w:rPr>
    </w:pPr>
    <w:r w:rsidRPr="00BC1CD1">
      <w:rPr>
        <w:color w:val="A6A6A6"/>
        <w:sz w:val="18"/>
      </w:rPr>
      <w:fldChar w:fldCharType="begin"/>
    </w:r>
    <w:r w:rsidRPr="00BC1CD1">
      <w:rPr>
        <w:color w:val="A6A6A6"/>
        <w:sz w:val="18"/>
      </w:rPr>
      <w:instrText>PAGE</w:instrText>
    </w:r>
    <w:r w:rsidRPr="00BC1CD1">
      <w:rPr>
        <w:color w:val="A6A6A6"/>
        <w:sz w:val="18"/>
      </w:rPr>
      <w:fldChar w:fldCharType="separate"/>
    </w:r>
    <w:r w:rsidR="00C904AE">
      <w:rPr>
        <w:noProof/>
        <w:color w:val="A6A6A6"/>
        <w:sz w:val="18"/>
      </w:rPr>
      <w:t>2</w:t>
    </w:r>
    <w:r w:rsidRPr="00BC1CD1">
      <w:rPr>
        <w:color w:val="A6A6A6"/>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C2FBE" w14:textId="77777777" w:rsidR="00423CF8" w:rsidRDefault="00423CF8" w:rsidP="0074485C">
      <w:pPr>
        <w:spacing w:after="0"/>
      </w:pPr>
      <w:r>
        <w:separator/>
      </w:r>
    </w:p>
  </w:footnote>
  <w:footnote w:type="continuationSeparator" w:id="0">
    <w:p w14:paraId="11D86D2C" w14:textId="77777777" w:rsidR="00423CF8" w:rsidRDefault="00423CF8">
      <w:r>
        <w:continuationSeparator/>
      </w:r>
    </w:p>
  </w:footnote>
  <w:footnote w:id="1">
    <w:p w14:paraId="7ED0AFF3" w14:textId="77777777" w:rsidR="0026376A" w:rsidRDefault="0026376A" w:rsidP="00A03F2C">
      <w:pPr>
        <w:pStyle w:val="Textpoznpodarou"/>
        <w:ind w:left="227" w:hanging="227"/>
      </w:pPr>
      <w:r w:rsidRPr="00170C9E">
        <w:rPr>
          <w:rStyle w:val="Znakapoznpodarou"/>
          <w:rFonts w:cs="Calibri"/>
        </w:rPr>
        <w:footnoteRef/>
      </w:r>
      <w:r>
        <w:t xml:space="preserve"> </w:t>
      </w:r>
      <w:r>
        <w:tab/>
      </w:r>
      <w:r w:rsidRPr="00170C9E">
        <w:rPr>
          <w:rFonts w:cs="Calibri"/>
          <w:sz w:val="18"/>
          <w:szCs w:val="18"/>
        </w:rPr>
        <w:t>V rámci zákona č. 427/2011 Sb.</w:t>
      </w:r>
      <w:r>
        <w:rPr>
          <w:rFonts w:cs="Calibri"/>
          <w:sz w:val="18"/>
          <w:szCs w:val="18"/>
        </w:rPr>
        <w:t xml:space="preserve">, </w:t>
      </w:r>
      <w:r w:rsidRPr="00170C9E">
        <w:rPr>
          <w:rFonts w:cs="Calibri"/>
          <w:sz w:val="18"/>
          <w:szCs w:val="18"/>
        </w:rPr>
        <w:t>o doplňkovém penzijním spoření jsou stanoveny v § 60 limity úplat pro účastnické fondy a v § 192 limity úplat pro transformované fondy.</w:t>
      </w:r>
      <w:r>
        <w:t xml:space="preserve"> </w:t>
      </w:r>
    </w:p>
  </w:footnote>
  <w:footnote w:id="2">
    <w:p w14:paraId="26FAE847" w14:textId="77777777" w:rsidR="0026376A" w:rsidRPr="00A03F2C" w:rsidRDefault="0026376A" w:rsidP="00A03F2C">
      <w:pPr>
        <w:spacing w:after="0" w:line="240" w:lineRule="auto"/>
        <w:ind w:left="227" w:hanging="227"/>
        <w:jc w:val="both"/>
        <w:rPr>
          <w:rFonts w:ascii="Arial" w:hAnsi="Arial" w:cs="Calibri"/>
          <w:sz w:val="18"/>
          <w:szCs w:val="18"/>
        </w:rPr>
      </w:pPr>
      <w:r w:rsidRPr="00D22877">
        <w:rPr>
          <w:rStyle w:val="Znakapoznpodarou"/>
          <w:rFonts w:cs="Calibri"/>
          <w:sz w:val="20"/>
          <w:szCs w:val="20"/>
        </w:rPr>
        <w:footnoteRef/>
      </w:r>
      <w:r>
        <w:rPr>
          <w:rFonts w:cs="Calibri"/>
          <w:sz w:val="20"/>
          <w:szCs w:val="20"/>
        </w:rPr>
        <w:t xml:space="preserve"> </w:t>
      </w:r>
      <w:r>
        <w:rPr>
          <w:rFonts w:cs="Calibri"/>
          <w:sz w:val="20"/>
          <w:szCs w:val="20"/>
        </w:rPr>
        <w:tab/>
      </w:r>
      <w:r w:rsidRPr="003819C6">
        <w:rPr>
          <w:rFonts w:cs="Calibri"/>
          <w:sz w:val="18"/>
          <w:szCs w:val="18"/>
        </w:rPr>
        <w:t xml:space="preserve">EY. </w:t>
      </w:r>
      <w:r w:rsidRPr="003819C6">
        <w:rPr>
          <w:rFonts w:cs="Calibri"/>
          <w:i/>
          <w:sz w:val="18"/>
          <w:szCs w:val="18"/>
        </w:rPr>
        <w:t>Srovnávací studie třetího důchodového pilíře</w:t>
      </w:r>
      <w:r w:rsidRPr="003819C6">
        <w:rPr>
          <w:rFonts w:cs="Calibri"/>
          <w:sz w:val="18"/>
          <w:szCs w:val="18"/>
        </w:rPr>
        <w:t xml:space="preserve">. EY, 31. 3. 2026. Dostupné z: </w:t>
      </w:r>
      <w:hyperlink r:id="rId1" w:history="1">
        <w:r w:rsidRPr="003901AC">
          <w:rPr>
            <w:rStyle w:val="Hypertextovodkaz"/>
            <w:rFonts w:cs="Calibri"/>
            <w:sz w:val="18"/>
            <w:szCs w:val="18"/>
          </w:rPr>
          <w:t>https://data.apscr.cz/dokumenty/Srovnavaci%20studie%20tretiho%20duchodoveho%20pilire.pdf</w:t>
        </w:r>
      </w:hyperlink>
      <w:r w:rsidRPr="003819C6">
        <w:rPr>
          <w:rFonts w:cs="Calibri"/>
          <w:sz w:val="18"/>
          <w:szCs w:val="18"/>
        </w:rPr>
        <w:t>.</w:t>
      </w:r>
    </w:p>
  </w:footnote>
  <w:footnote w:id="3">
    <w:p w14:paraId="02ADADF5" w14:textId="77777777" w:rsidR="0026376A" w:rsidRDefault="0026376A" w:rsidP="00A03F2C">
      <w:pPr>
        <w:spacing w:after="0" w:line="240" w:lineRule="auto"/>
        <w:ind w:left="227" w:hanging="227"/>
      </w:pPr>
      <w:r w:rsidRPr="00270A21">
        <w:rPr>
          <w:rStyle w:val="Znakapoznpodarou"/>
          <w:sz w:val="20"/>
        </w:rPr>
        <w:footnoteRef/>
      </w:r>
      <w:r w:rsidRPr="00270A21">
        <w:rPr>
          <w:sz w:val="20"/>
        </w:rPr>
        <w:t xml:space="preserve"> </w:t>
      </w:r>
      <w:r>
        <w:rPr>
          <w:sz w:val="20"/>
        </w:rPr>
        <w:tab/>
      </w:r>
      <w:r w:rsidRPr="00A03F2C">
        <w:rPr>
          <w:rFonts w:cs="Calibri"/>
          <w:sz w:val="18"/>
          <w:szCs w:val="18"/>
        </w:rPr>
        <w:t xml:space="preserve">OECD. </w:t>
      </w:r>
      <w:r w:rsidRPr="00A03F2C">
        <w:rPr>
          <w:rFonts w:cs="Calibri"/>
          <w:i/>
          <w:sz w:val="18"/>
          <w:szCs w:val="18"/>
        </w:rPr>
        <w:t>Reviews of Pension Systems: Czech Republic</w:t>
      </w:r>
      <w:r w:rsidRPr="00A03F2C">
        <w:rPr>
          <w:rFonts w:cs="Calibri"/>
          <w:sz w:val="18"/>
          <w:szCs w:val="18"/>
        </w:rPr>
        <w:t>. OECD Reviews of Pension Systems, OECD Publishing, Paris 2020, str.</w:t>
      </w:r>
      <w:r>
        <w:rPr>
          <w:rFonts w:cs="Calibri"/>
          <w:sz w:val="18"/>
          <w:szCs w:val="18"/>
        </w:rPr>
        <w:t> </w:t>
      </w:r>
      <w:r w:rsidRPr="00A03F2C">
        <w:rPr>
          <w:rFonts w:cs="Calibri"/>
          <w:sz w:val="18"/>
          <w:szCs w:val="18"/>
        </w:rPr>
        <w:t xml:space="preserve">145–146. Dostupné z: </w:t>
      </w:r>
      <w:hyperlink r:id="rId2" w:history="1">
        <w:r w:rsidRPr="00A03F2C">
          <w:rPr>
            <w:rStyle w:val="Hypertextovodkaz"/>
            <w:rFonts w:cs="Calibri"/>
            <w:sz w:val="18"/>
            <w:szCs w:val="18"/>
          </w:rPr>
          <w:t>https://doi.org/10.1787/e6387738-en</w:t>
        </w:r>
      </w:hyperlink>
      <w:r w:rsidRPr="00A03F2C">
        <w:rPr>
          <w:rFonts w:cs="Calibri"/>
          <w:sz w:val="18"/>
          <w:szCs w:val="18"/>
        </w:rPr>
        <w:t>.</w:t>
      </w:r>
    </w:p>
  </w:footnote>
  <w:footnote w:id="4">
    <w:p w14:paraId="5BF75264" w14:textId="77777777" w:rsidR="0026376A" w:rsidRPr="00B31182" w:rsidRDefault="0026376A" w:rsidP="00A03F2C">
      <w:pPr>
        <w:pStyle w:val="Textpoznpodarou"/>
        <w:ind w:left="227" w:hanging="227"/>
        <w:rPr>
          <w:rFonts w:cs="Calibri"/>
        </w:rPr>
      </w:pPr>
      <w:r w:rsidRPr="00B31182">
        <w:rPr>
          <w:rStyle w:val="Znakapoznpodarou"/>
          <w:rFonts w:cs="Calibri"/>
        </w:rPr>
        <w:footnoteRef/>
      </w:r>
      <w:r w:rsidRPr="00B31182">
        <w:rPr>
          <w:rFonts w:cs="Calibri"/>
        </w:rPr>
        <w:t xml:space="preserve"> </w:t>
      </w:r>
      <w:r>
        <w:rPr>
          <w:rFonts w:cs="Calibri"/>
        </w:rPr>
        <w:tab/>
      </w:r>
      <w:r>
        <w:rPr>
          <w:rFonts w:cs="Calibri"/>
          <w:sz w:val="18"/>
          <w:szCs w:val="18"/>
        </w:rPr>
        <w:t>Nádvorník, L., Pertold,</w:t>
      </w:r>
      <w:r w:rsidRPr="00B31182">
        <w:rPr>
          <w:rFonts w:cs="Calibri"/>
          <w:sz w:val="18"/>
          <w:szCs w:val="18"/>
        </w:rPr>
        <w:t xml:space="preserve"> F. </w:t>
      </w:r>
      <w:r w:rsidRPr="00B31182">
        <w:rPr>
          <w:rFonts w:cs="Calibri"/>
          <w:i/>
          <w:sz w:val="18"/>
          <w:szCs w:val="18"/>
        </w:rPr>
        <w:t>Klienti penzijních fondů v pasti nízkých výnosů a vysokých poplatků</w:t>
      </w:r>
      <w:r>
        <w:rPr>
          <w:rFonts w:cs="Calibri"/>
          <w:sz w:val="18"/>
          <w:szCs w:val="18"/>
        </w:rPr>
        <w:t>. IDEA při CERGE-EI, l</w:t>
      </w:r>
      <w:r w:rsidRPr="00B31182">
        <w:rPr>
          <w:rFonts w:cs="Calibri"/>
          <w:sz w:val="18"/>
          <w:szCs w:val="18"/>
        </w:rPr>
        <w:t xml:space="preserve">eden 2026. Dostupné z: </w:t>
      </w:r>
      <w:hyperlink r:id="rId3" w:history="1">
        <w:r w:rsidRPr="00B31182">
          <w:rPr>
            <w:rStyle w:val="Hypertextovodkaz"/>
            <w:rFonts w:cs="Calibri"/>
            <w:sz w:val="18"/>
            <w:szCs w:val="18"/>
          </w:rPr>
          <w:t>https://idea.cerge-ei.cz/studies/klienti-penzijnich-fondu-v-pasti-nizkych-vynosu-a-vysokych-poplatku</w:t>
        </w:r>
      </w:hyperlink>
      <w:r w:rsidRPr="00B31182">
        <w:rPr>
          <w:rFonts w:cs="Calibri"/>
          <w:sz w:val="18"/>
          <w:szCs w:val="18"/>
        </w:rPr>
        <w:t>.</w:t>
      </w:r>
    </w:p>
  </w:footnote>
  <w:footnote w:id="5">
    <w:p w14:paraId="3A209D9F" w14:textId="77777777" w:rsidR="0026376A" w:rsidRDefault="0026376A" w:rsidP="00834D78">
      <w:pPr>
        <w:pStyle w:val="Textpoznpodarou"/>
        <w:ind w:left="227" w:hanging="227"/>
      </w:pPr>
      <w:r w:rsidRPr="00AB6485">
        <w:rPr>
          <w:rStyle w:val="Znakapoznpodarou"/>
          <w:rFonts w:cs="Calibri"/>
        </w:rPr>
        <w:footnoteRef/>
      </w:r>
      <w:r w:rsidRPr="00AB6485">
        <w:rPr>
          <w:rFonts w:cs="Calibri"/>
        </w:rPr>
        <w:t xml:space="preserve"> </w:t>
      </w:r>
      <w:r>
        <w:rPr>
          <w:rFonts w:cs="Calibri"/>
        </w:rPr>
        <w:tab/>
      </w:r>
      <w:r w:rsidRPr="00AB6485">
        <w:rPr>
          <w:rFonts w:cs="Calibri"/>
          <w:sz w:val="18"/>
          <w:szCs w:val="18"/>
        </w:rPr>
        <w:t xml:space="preserve">Penzijní společnost má nárok na úplatu za zhodnocení pouze tehdy, pokud hodnota </w:t>
      </w:r>
      <w:r>
        <w:rPr>
          <w:rFonts w:cs="Calibri"/>
          <w:sz w:val="18"/>
          <w:szCs w:val="18"/>
        </w:rPr>
        <w:t xml:space="preserve">majetku klienta </w:t>
      </w:r>
      <w:r w:rsidRPr="00AB6485">
        <w:rPr>
          <w:rFonts w:cs="Calibri"/>
          <w:sz w:val="18"/>
          <w:szCs w:val="18"/>
        </w:rPr>
        <w:t>překoná nejvyšší hodnotu, kter</w:t>
      </w:r>
      <w:r>
        <w:rPr>
          <w:rFonts w:cs="Calibri"/>
          <w:sz w:val="18"/>
          <w:szCs w:val="18"/>
        </w:rPr>
        <w:t xml:space="preserve">ou majetek </w:t>
      </w:r>
      <w:r w:rsidRPr="00AB6485">
        <w:rPr>
          <w:rFonts w:cs="Calibri"/>
          <w:sz w:val="18"/>
          <w:szCs w:val="18"/>
        </w:rPr>
        <w:t>dosáhl v minulosti.</w:t>
      </w:r>
    </w:p>
  </w:footnote>
  <w:footnote w:id="6">
    <w:p w14:paraId="104BBEB2" w14:textId="77777777" w:rsidR="0026376A" w:rsidRDefault="0026376A" w:rsidP="00A03F2C">
      <w:pPr>
        <w:pStyle w:val="Textpoznpodarou"/>
        <w:ind w:left="227" w:hanging="227"/>
      </w:pPr>
      <w:r w:rsidRPr="003A4962">
        <w:rPr>
          <w:vertAlign w:val="superscript"/>
        </w:rPr>
        <w:footnoteRef/>
      </w:r>
      <w:r w:rsidRPr="003A4962">
        <w:rPr>
          <w:vertAlign w:val="superscript"/>
        </w:rPr>
        <w:t xml:space="preserve"> </w:t>
      </w:r>
      <w:r>
        <w:tab/>
      </w:r>
      <w:r w:rsidRPr="003A4962">
        <w:rPr>
          <w:sz w:val="18"/>
          <w:szCs w:val="18"/>
        </w:rPr>
        <w:t>Transformované fondy a povinné konzervativní fondy 2,5 %, dynamické fondy 7,5 %</w:t>
      </w:r>
      <w:r>
        <w:rPr>
          <w:sz w:val="18"/>
          <w:szCs w:val="18"/>
        </w:rPr>
        <w:t>.</w:t>
      </w:r>
    </w:p>
  </w:footnote>
  <w:footnote w:id="7">
    <w:p w14:paraId="5464EA25" w14:textId="2CFA1658" w:rsidR="0026376A" w:rsidRDefault="0026376A" w:rsidP="00A67F24">
      <w:pPr>
        <w:pStyle w:val="Textpoznpodarou"/>
        <w:ind w:left="227" w:hanging="227"/>
      </w:pPr>
      <w:r>
        <w:rPr>
          <w:rStyle w:val="Znakapoznpodarou"/>
        </w:rPr>
        <w:footnoteRef/>
      </w:r>
      <w:r>
        <w:t xml:space="preserve"> </w:t>
      </w:r>
      <w:r>
        <w:tab/>
      </w:r>
      <w:r w:rsidRPr="00A67F24">
        <w:rPr>
          <w:sz w:val="18"/>
          <w:szCs w:val="18"/>
        </w:rPr>
        <w:t>U jedné z těchto společností (č. 7) je však interpretace výše a vývoje jejích nákladů obtížná, neboť byly téměř ve všech letech sledovaného období zatíženy zkreslujícími účetními operacemi, jako jsou odpisy nebo tvorby rezervy.</w:t>
      </w:r>
    </w:p>
  </w:footnote>
  <w:footnote w:id="8">
    <w:p w14:paraId="44DF75A6" w14:textId="77777777" w:rsidR="0026376A" w:rsidRDefault="0026376A" w:rsidP="00A03F2C">
      <w:pPr>
        <w:pStyle w:val="Textpoznpodarou"/>
        <w:ind w:left="227" w:hanging="227"/>
        <w:jc w:val="both"/>
      </w:pPr>
      <w:r>
        <w:rPr>
          <w:rStyle w:val="Znakapoznpodarou"/>
        </w:rPr>
        <w:footnoteRef/>
      </w:r>
      <w:r>
        <w:t xml:space="preserve"> </w:t>
      </w:r>
      <w:r>
        <w:tab/>
      </w:r>
      <w:r w:rsidRPr="00361287">
        <w:rPr>
          <w:sz w:val="18"/>
          <w:szCs w:val="18"/>
        </w:rPr>
        <w:t>Počet účastníků s evidovaným příspěvkem je nižší než počet účastníků s neukončenou smlouvou (170,6 tis. ke konci roku 2025).</w:t>
      </w:r>
    </w:p>
  </w:footnote>
  <w:footnote w:id="9">
    <w:p w14:paraId="4BB149FB" w14:textId="77777777" w:rsidR="0026376A" w:rsidRDefault="0026376A" w:rsidP="00A03F2C">
      <w:pPr>
        <w:pStyle w:val="Textpoznpodarou"/>
        <w:ind w:left="227" w:hanging="227"/>
        <w:jc w:val="both"/>
      </w:pPr>
      <w:r>
        <w:rPr>
          <w:rStyle w:val="Znakapoznpodarou"/>
        </w:rPr>
        <w:footnoteRef/>
      </w:r>
      <w:r>
        <w:t xml:space="preserve"> </w:t>
      </w:r>
      <w:r>
        <w:tab/>
      </w:r>
      <w:r w:rsidRPr="007A4A84">
        <w:rPr>
          <w:sz w:val="18"/>
          <w:szCs w:val="18"/>
        </w:rPr>
        <w:t xml:space="preserve">Jedná se o součet tempa růstu bez snížení minimální výše příspěvku pro </w:t>
      </w:r>
      <w:r>
        <w:rPr>
          <w:sz w:val="18"/>
          <w:szCs w:val="18"/>
        </w:rPr>
        <w:t>nárok na státní</w:t>
      </w:r>
      <w:r w:rsidRPr="007A4A84">
        <w:rPr>
          <w:sz w:val="18"/>
          <w:szCs w:val="18"/>
        </w:rPr>
        <w:t xml:space="preserve"> příspěv</w:t>
      </w:r>
      <w:r>
        <w:rPr>
          <w:sz w:val="18"/>
          <w:szCs w:val="18"/>
        </w:rPr>
        <w:t>ek</w:t>
      </w:r>
      <w:r w:rsidRPr="007A4A84">
        <w:rPr>
          <w:sz w:val="18"/>
          <w:szCs w:val="18"/>
        </w:rPr>
        <w:t xml:space="preserve"> </w:t>
      </w:r>
      <w:r>
        <w:rPr>
          <w:sz w:val="18"/>
          <w:szCs w:val="18"/>
        </w:rPr>
        <w:t>(</w:t>
      </w:r>
      <w:r w:rsidRPr="007A4A84">
        <w:rPr>
          <w:sz w:val="18"/>
          <w:szCs w:val="18"/>
        </w:rPr>
        <w:t>2,1 %</w:t>
      </w:r>
      <w:r>
        <w:rPr>
          <w:sz w:val="18"/>
          <w:szCs w:val="18"/>
        </w:rPr>
        <w:t>) a </w:t>
      </w:r>
      <w:r w:rsidRPr="007A4A84">
        <w:rPr>
          <w:sz w:val="18"/>
          <w:szCs w:val="18"/>
        </w:rPr>
        <w:t>předpokládaného dodatečného navýšení tempa růstu po snížení mini</w:t>
      </w:r>
      <w:r>
        <w:rPr>
          <w:sz w:val="18"/>
          <w:szCs w:val="18"/>
        </w:rPr>
        <w:t>mální výše příspěvku pro nárok na státní</w:t>
      </w:r>
      <w:r w:rsidRPr="007A4A84">
        <w:rPr>
          <w:sz w:val="18"/>
          <w:szCs w:val="18"/>
        </w:rPr>
        <w:t xml:space="preserve"> příspěv</w:t>
      </w:r>
      <w:r>
        <w:rPr>
          <w:sz w:val="18"/>
          <w:szCs w:val="18"/>
        </w:rPr>
        <w:t>ek</w:t>
      </w:r>
      <w:r w:rsidRPr="007A4A84">
        <w:rPr>
          <w:sz w:val="18"/>
          <w:szCs w:val="18"/>
        </w:rPr>
        <w:t xml:space="preserve"> na 100 Kč dle </w:t>
      </w:r>
      <w:r w:rsidRPr="009D2306">
        <w:rPr>
          <w:sz w:val="18"/>
          <w:szCs w:val="18"/>
        </w:rPr>
        <w:t>tabulky 8</w:t>
      </w:r>
      <w:r w:rsidRPr="007A4A84">
        <w:rPr>
          <w:sz w:val="18"/>
          <w:szCs w:val="18"/>
        </w:rPr>
        <w:t xml:space="preserve"> o 4 až 6 p. b.</w:t>
      </w:r>
    </w:p>
  </w:footnote>
  <w:footnote w:id="10">
    <w:p w14:paraId="6B6FF281" w14:textId="77777777" w:rsidR="0026376A" w:rsidRDefault="0026376A" w:rsidP="00A03F2C">
      <w:pPr>
        <w:pStyle w:val="Textpoznpodarou"/>
        <w:ind w:left="227" w:hanging="227"/>
        <w:jc w:val="both"/>
      </w:pPr>
      <w:r>
        <w:rPr>
          <w:rStyle w:val="Znakapoznpodarou"/>
        </w:rPr>
        <w:footnoteRef/>
      </w:r>
      <w:r>
        <w:t xml:space="preserve"> </w:t>
      </w:r>
      <w:r>
        <w:tab/>
      </w:r>
      <w:r w:rsidRPr="00F006AA">
        <w:rPr>
          <w:rFonts w:eastAsia="Droid Sans Fallback"/>
          <w:i/>
          <w:sz w:val="18"/>
          <w:szCs w:val="18"/>
        </w:rPr>
        <w:t xml:space="preserve">Projekce obyvatelstva České republiky - 2023–2100 </w:t>
      </w:r>
      <w:r w:rsidRPr="00F006AA">
        <w:rPr>
          <w:rFonts w:eastAsia="Droid Sans Fallback"/>
          <w:sz w:val="18"/>
          <w:szCs w:val="18"/>
        </w:rPr>
        <w:t xml:space="preserve">[online]. Český statistický úřad: 30. 11. 2023. Dostupné z: </w:t>
      </w:r>
      <w:hyperlink r:id="rId4" w:history="1">
        <w:r w:rsidRPr="00F006AA">
          <w:rPr>
            <w:rStyle w:val="Hypertextovodkaz"/>
            <w:rFonts w:eastAsia="Droid Sans Fallback"/>
            <w:sz w:val="18"/>
            <w:szCs w:val="18"/>
          </w:rPr>
          <w:t>https://csu.gov.cz/produkty/projekce-obyvatelstva-ceske-republiky-2023-2100</w:t>
        </w:r>
      </w:hyperlink>
      <w:r w:rsidRPr="00F006AA">
        <w:rPr>
          <w:rFonts w:eastAsia="Droid Sans Fallback"/>
          <w:sz w:val="18"/>
          <w:szCs w:val="18"/>
        </w:rPr>
        <w:t>.</w:t>
      </w:r>
    </w:p>
  </w:footnote>
  <w:footnote w:id="11">
    <w:p w14:paraId="40B73447" w14:textId="77777777" w:rsidR="0026376A" w:rsidRDefault="0026376A" w:rsidP="00A03F2C">
      <w:pPr>
        <w:pStyle w:val="Textpoznpodarou"/>
        <w:ind w:left="227" w:hanging="227"/>
        <w:jc w:val="both"/>
      </w:pPr>
      <w:r>
        <w:rPr>
          <w:rStyle w:val="Znakapoznpodarou"/>
        </w:rPr>
        <w:footnoteRef/>
      </w:r>
      <w:r>
        <w:t xml:space="preserve"> </w:t>
      </w:r>
      <w:r>
        <w:tab/>
      </w:r>
      <w:r w:rsidRPr="00F006AA">
        <w:rPr>
          <w:i/>
          <w:sz w:val="18"/>
          <w:szCs w:val="18"/>
        </w:rPr>
        <w:t>Evoluce penzijka</w:t>
      </w:r>
      <w:r w:rsidRPr="00F006AA">
        <w:rPr>
          <w:sz w:val="18"/>
          <w:szCs w:val="18"/>
        </w:rPr>
        <w:t xml:space="preserve"> </w:t>
      </w:r>
      <w:r w:rsidRPr="00F006AA">
        <w:rPr>
          <w:rFonts w:eastAsia="Droid Sans Fallback"/>
          <w:sz w:val="18"/>
          <w:szCs w:val="18"/>
        </w:rPr>
        <w:t xml:space="preserve">[online]. APS ČR: prezentace z tiskové konference 8. 4. 2026. Dostupné z: </w:t>
      </w:r>
      <w:hyperlink r:id="rId5" w:history="1">
        <w:r w:rsidRPr="00F006AA">
          <w:rPr>
            <w:rStyle w:val="Hypertextovodkaz"/>
            <w:rFonts w:eastAsia="Droid Sans Fallback"/>
            <w:sz w:val="18"/>
            <w:szCs w:val="18"/>
          </w:rPr>
          <w:t>https://data.apscr.cz/dokumenty/Prezentace-z-TK-Evoluce-penzijka.pdf</w:t>
        </w:r>
      </w:hyperlink>
      <w:r w:rsidRPr="00F006AA">
        <w:rPr>
          <w:rFonts w:eastAsia="Droid Sans Fallback"/>
          <w:sz w:val="18"/>
          <w:szCs w:val="18"/>
        </w:rPr>
        <w:t>.</w:t>
      </w:r>
    </w:p>
  </w:footnote>
  <w:footnote w:id="12">
    <w:p w14:paraId="4F5D538B" w14:textId="77777777" w:rsidR="0026376A" w:rsidRDefault="0026376A" w:rsidP="00A03F2C">
      <w:pPr>
        <w:pStyle w:val="Textpoznpodarou"/>
        <w:ind w:left="227" w:hanging="227"/>
        <w:jc w:val="both"/>
      </w:pPr>
      <w:r>
        <w:rPr>
          <w:rStyle w:val="Znakapoznpodarou"/>
        </w:rPr>
        <w:footnoteRef/>
      </w:r>
      <w:r>
        <w:t xml:space="preserve"> </w:t>
      </w:r>
      <w:r>
        <w:tab/>
      </w:r>
      <w:r w:rsidRPr="00361287">
        <w:rPr>
          <w:sz w:val="18"/>
          <w:szCs w:val="18"/>
        </w:rPr>
        <w:t>Počet účastníků s evidovaným příspěvkem je nižší než počet účast</w:t>
      </w:r>
      <w:r>
        <w:rPr>
          <w:sz w:val="18"/>
          <w:szCs w:val="18"/>
        </w:rPr>
        <w:t>níků s neukončenou smlouvou (262,8</w:t>
      </w:r>
      <w:r w:rsidRPr="00361287">
        <w:rPr>
          <w:sz w:val="18"/>
          <w:szCs w:val="18"/>
        </w:rPr>
        <w:t xml:space="preserve"> tis. ke konci roku 2025).</w:t>
      </w:r>
    </w:p>
  </w:footnote>
  <w:footnote w:id="13">
    <w:p w14:paraId="4A5AEDD6" w14:textId="77777777" w:rsidR="0026376A" w:rsidRDefault="0026376A" w:rsidP="00BD7681">
      <w:pPr>
        <w:pStyle w:val="Textpoznpodarou"/>
        <w:ind w:left="227" w:hanging="227"/>
        <w:jc w:val="both"/>
      </w:pPr>
      <w:r>
        <w:rPr>
          <w:rStyle w:val="Znakapoznpodarou"/>
        </w:rPr>
        <w:footnoteRef/>
      </w:r>
      <w:r>
        <w:t xml:space="preserve"> </w:t>
      </w:r>
      <w:r>
        <w:tab/>
      </w:r>
      <w:r w:rsidRPr="00E77FA0">
        <w:rPr>
          <w:rFonts w:eastAsia="Droid Sans Fallback"/>
          <w:i/>
          <w:sz w:val="18"/>
          <w:szCs w:val="18"/>
        </w:rPr>
        <w:t>Projekce obyvatelstva České republiky - 2023–2100</w:t>
      </w:r>
      <w:r>
        <w:rPr>
          <w:rFonts w:eastAsia="Droid Sans Fallback"/>
          <w:i/>
          <w:sz w:val="18"/>
          <w:szCs w:val="18"/>
        </w:rPr>
        <w:t xml:space="preserve"> </w:t>
      </w:r>
      <w:r>
        <w:rPr>
          <w:rFonts w:eastAsia="Droid Sans Fallback"/>
          <w:sz w:val="18"/>
          <w:szCs w:val="22"/>
        </w:rPr>
        <w:t>[online]. Český statistický úřad</w:t>
      </w:r>
      <w:r w:rsidRPr="00E77FA0">
        <w:rPr>
          <w:rFonts w:eastAsia="Droid Sans Fallback"/>
          <w:sz w:val="18"/>
          <w:szCs w:val="22"/>
        </w:rPr>
        <w:t xml:space="preserve">: </w:t>
      </w:r>
      <w:r>
        <w:rPr>
          <w:rFonts w:eastAsia="Droid Sans Fallback"/>
          <w:sz w:val="18"/>
          <w:szCs w:val="22"/>
        </w:rPr>
        <w:t>30. 11. 2023</w:t>
      </w:r>
      <w:r w:rsidRPr="00E77FA0">
        <w:rPr>
          <w:rFonts w:eastAsia="Droid Sans Fallback"/>
          <w:sz w:val="18"/>
          <w:szCs w:val="22"/>
        </w:rPr>
        <w:t>. Dostupné z:</w:t>
      </w:r>
      <w:r>
        <w:rPr>
          <w:rFonts w:eastAsia="Droid Sans Fallback"/>
          <w:sz w:val="18"/>
          <w:szCs w:val="22"/>
        </w:rPr>
        <w:t xml:space="preserve"> </w:t>
      </w:r>
      <w:hyperlink r:id="rId6" w:history="1">
        <w:r w:rsidRPr="00914A1B">
          <w:rPr>
            <w:rStyle w:val="Hypertextovodkaz"/>
            <w:rFonts w:eastAsia="Droid Sans Fallback"/>
            <w:sz w:val="18"/>
            <w:szCs w:val="22"/>
          </w:rPr>
          <w:t>https://csu.gov.cz/produkty/projekce-obyvatelstva-ceske-republiky-2023-2100</w:t>
        </w:r>
      </w:hyperlink>
      <w:r w:rsidRPr="00E77FA0">
        <w:rPr>
          <w:rFonts w:eastAsia="Droid Sans Fallback"/>
          <w:sz w:val="18"/>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B35F4" w14:textId="1CA8855F" w:rsidR="0026376A" w:rsidRPr="00BC1CD1" w:rsidRDefault="0026376A" w:rsidP="00D95EF7">
    <w:pPr>
      <w:pStyle w:val="Zhlav"/>
      <w:tabs>
        <w:tab w:val="clear" w:pos="9072"/>
        <w:tab w:val="center" w:pos="3402"/>
        <w:tab w:val="center" w:pos="5103"/>
        <w:tab w:val="left" w:pos="5224"/>
        <w:tab w:val="right" w:pos="9469"/>
        <w:tab w:val="right" w:pos="9498"/>
      </w:tabs>
      <w:jc w:val="center"/>
      <w:rPr>
        <w:color w:val="A6A6A6"/>
        <w:sz w:val="18"/>
      </w:rPr>
    </w:pPr>
    <w:r w:rsidRPr="00BC1CD1">
      <w:rPr>
        <w:color w:val="A6A6A6"/>
        <w:sz w:val="18"/>
      </w:rPr>
      <w:t xml:space="preserve">MF ČR, </w:t>
    </w:r>
    <w:r w:rsidRPr="00C67F48">
      <w:rPr>
        <w:color w:val="A6A6A6"/>
        <w:sz w:val="18"/>
      </w:rPr>
      <w:t>Finanční trhy I</w:t>
    </w:r>
    <w:r>
      <w:rPr>
        <w:color w:val="A6A6A6"/>
        <w:sz w:val="18"/>
      </w:rPr>
      <w:t xml:space="preserve"> a II</w:t>
    </w:r>
    <w:r w:rsidRPr="00BC1CD1">
      <w:rPr>
        <w:color w:val="A6A6A6"/>
        <w:sz w:val="18"/>
      </w:rPr>
      <w:tab/>
    </w:r>
    <w:r>
      <w:rPr>
        <w:color w:val="A6A6A6"/>
        <w:sz w:val="18"/>
      </w:rPr>
      <w:tab/>
    </w:r>
    <w:r>
      <w:rPr>
        <w:b/>
        <w:color w:val="C0504D" w:themeColor="accent2"/>
        <w:sz w:val="18"/>
      </w:rPr>
      <w:t xml:space="preserve">ZZ </w:t>
    </w:r>
    <w:r w:rsidRPr="004C6229">
      <w:rPr>
        <w:b/>
        <w:color w:val="C0504D" w:themeColor="accent2"/>
        <w:sz w:val="18"/>
      </w:rPr>
      <w:t>RIA k novele zákona o doplňkovém penzijním spoření</w:t>
    </w:r>
    <w:r w:rsidR="00C904AE">
      <w:rPr>
        <w:color w:val="A6A6A6"/>
        <w:sz w:val="18"/>
      </w:rPr>
      <w:tab/>
      <w:t>3</w:t>
    </w:r>
    <w:r>
      <w:rPr>
        <w:color w:val="A6A6A6"/>
        <w:sz w:val="18"/>
      </w:rPr>
      <w:t>. 6. 2026</w:t>
    </w:r>
  </w:p>
  <w:p w14:paraId="58A1A436" w14:textId="77777777" w:rsidR="0026376A" w:rsidRDefault="0026376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F1255" w14:textId="45406A5D" w:rsidR="00CF415F" w:rsidRPr="00CF415F" w:rsidRDefault="00CF415F" w:rsidP="00CF415F">
    <w:pPr>
      <w:pStyle w:val="Zhlav"/>
      <w:jc w:val="right"/>
      <w:rPr>
        <w:rFonts w:ascii="Times New Roman" w:eastAsia="Times New Roman" w:hAnsi="Times New Roman"/>
        <w:b/>
        <w:bCs/>
        <w:sz w:val="24"/>
        <w:szCs w:val="20"/>
        <w:lang w:eastAsia="cs-CZ"/>
      </w:rPr>
    </w:pPr>
    <w:r w:rsidRPr="00CF415F">
      <w:rPr>
        <w:rFonts w:ascii="Times New Roman" w:eastAsia="Times New Roman" w:hAnsi="Times New Roman"/>
        <w:b/>
        <w:bCs/>
        <w:sz w:val="24"/>
        <w:szCs w:val="20"/>
        <w:lang w:eastAsia="cs-CZ"/>
      </w:rPr>
      <w:t>V.</w:t>
    </w:r>
  </w:p>
  <w:p w14:paraId="4F383FCE" w14:textId="7986D02C" w:rsidR="00CF415F" w:rsidRDefault="00CF415F" w:rsidP="00CF415F">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E79B44"/>
    <w:multiLevelType w:val="hybridMultilevel"/>
    <w:tmpl w:val="75D6669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C552C"/>
    <w:multiLevelType w:val="hybridMultilevel"/>
    <w:tmpl w:val="A6FEF6E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3" w15:restartNumberingAfterBreak="0">
    <w:nsid w:val="05D43C44"/>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6034D73"/>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6" w15:restartNumberingAfterBreak="0">
    <w:nsid w:val="08E27615"/>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313E22"/>
    <w:multiLevelType w:val="hybridMultilevel"/>
    <w:tmpl w:val="B4E4362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204535C"/>
    <w:multiLevelType w:val="hybridMultilevel"/>
    <w:tmpl w:val="7430DC2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28120B0"/>
    <w:multiLevelType w:val="multilevel"/>
    <w:tmpl w:val="82D23664"/>
    <w:lvl w:ilvl="0">
      <w:start w:val="1"/>
      <w:numFmt w:val="decimal"/>
      <w:pStyle w:val="Nadpis1"/>
      <w:lvlText w:val="%1."/>
      <w:lvlJc w:val="left"/>
      <w:pPr>
        <w:ind w:left="432" w:hanging="432"/>
      </w:pPr>
      <w:rPr>
        <w:rFonts w:hint="default"/>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12B615B5"/>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9371BD0"/>
    <w:multiLevelType w:val="singleLevel"/>
    <w:tmpl w:val="A920D918"/>
    <w:lvl w:ilvl="0">
      <w:start w:val="1"/>
      <w:numFmt w:val="decimal"/>
      <w:pStyle w:val="Novelizanbod"/>
      <w:lvlText w:val="%1."/>
      <w:lvlJc w:val="left"/>
      <w:pPr>
        <w:tabs>
          <w:tab w:val="num" w:pos="567"/>
        </w:tabs>
        <w:ind w:left="567" w:hanging="567"/>
      </w:pPr>
      <w:rPr>
        <w:b/>
        <w:i w:val="0"/>
      </w:rPr>
    </w:lvl>
  </w:abstractNum>
  <w:abstractNum w:abstractNumId="12" w15:restartNumberingAfterBreak="0">
    <w:nsid w:val="2262F3F1"/>
    <w:multiLevelType w:val="hybridMultilevel"/>
    <w:tmpl w:val="4B5927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8B4348B"/>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D706743"/>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CD6E11"/>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1677C6C"/>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1F12408"/>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2CA1D6F"/>
    <w:multiLevelType w:val="hybridMultilevel"/>
    <w:tmpl w:val="4D38D8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37E3256"/>
    <w:multiLevelType w:val="hybridMultilevel"/>
    <w:tmpl w:val="A670A38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1" w15:restartNumberingAfterBreak="0">
    <w:nsid w:val="36AF274E"/>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8822305"/>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A24E24"/>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9AA6067"/>
    <w:multiLevelType w:val="hybridMultilevel"/>
    <w:tmpl w:val="3AC86A2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C6E17DD"/>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FD5164C"/>
    <w:multiLevelType w:val="hybridMultilevel"/>
    <w:tmpl w:val="0E74B65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1581ED6"/>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68C38F5"/>
    <w:multiLevelType w:val="hybridMultilevel"/>
    <w:tmpl w:val="A55ADEC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B1D2D77"/>
    <w:multiLevelType w:val="hybridMultilevel"/>
    <w:tmpl w:val="964658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0813DE4"/>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151272E"/>
    <w:multiLevelType w:val="hybridMultilevel"/>
    <w:tmpl w:val="60CCF4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6996FCD"/>
    <w:multiLevelType w:val="hybridMultilevel"/>
    <w:tmpl w:val="779C1BB6"/>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61930F93"/>
    <w:multiLevelType w:val="hybridMultilevel"/>
    <w:tmpl w:val="DA481DE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1F958C7"/>
    <w:multiLevelType w:val="hybridMultilevel"/>
    <w:tmpl w:val="12B405B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6" w15:restartNumberingAfterBreak="0">
    <w:nsid w:val="6B3477F1"/>
    <w:multiLevelType w:val="hybridMultilevel"/>
    <w:tmpl w:val="4C84B60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F7E0B64"/>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FB53916"/>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75699DC1"/>
    <w:multiLevelType w:val="hybridMultilevel"/>
    <w:tmpl w:val="DE53B10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6293B90"/>
    <w:multiLevelType w:val="hybridMultilevel"/>
    <w:tmpl w:val="2BD087F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98C3DEF"/>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BA70D41"/>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CC86B2A"/>
    <w:multiLevelType w:val="hybridMultilevel"/>
    <w:tmpl w:val="7BFCF46E"/>
    <w:lvl w:ilvl="0" w:tplc="E362ABA8">
      <w:start w:val="1"/>
      <w:numFmt w:val="lowerRoman"/>
      <w:lvlText w:val="(%1)"/>
      <w:lvlJc w:val="right"/>
      <w:pPr>
        <w:ind w:left="720" w:hanging="360"/>
      </w:pPr>
      <w:rPr>
        <w:rFonts w:hint="default"/>
        <w:b w:val="0"/>
        <w:caps w:val="0"/>
        <w:strike w:val="0"/>
        <w:dstrike w:val="0"/>
        <w:vanish w:val="0"/>
        <w:color w:val="auto"/>
        <w:sz w:val="22"/>
        <w:szCs w:val="20"/>
        <w:u w:val="none"/>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FBE7433"/>
    <w:multiLevelType w:val="hybridMultilevel"/>
    <w:tmpl w:val="5D9C9FD8"/>
    <w:lvl w:ilvl="0" w:tplc="F754D87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7"/>
  </w:num>
  <w:num w:numId="2">
    <w:abstractNumId w:val="9"/>
  </w:num>
  <w:num w:numId="3">
    <w:abstractNumId w:val="35"/>
  </w:num>
  <w:num w:numId="4">
    <w:abstractNumId w:val="11"/>
  </w:num>
  <w:num w:numId="5">
    <w:abstractNumId w:val="20"/>
  </w:num>
  <w:num w:numId="6">
    <w:abstractNumId w:val="2"/>
  </w:num>
  <w:num w:numId="7">
    <w:abstractNumId w:val="5"/>
  </w:num>
  <w:num w:numId="8">
    <w:abstractNumId w:val="32"/>
  </w:num>
  <w:num w:numId="9">
    <w:abstractNumId w:val="41"/>
  </w:num>
  <w:num w:numId="10">
    <w:abstractNumId w:val="21"/>
  </w:num>
  <w:num w:numId="11">
    <w:abstractNumId w:val="44"/>
  </w:num>
  <w:num w:numId="12">
    <w:abstractNumId w:val="13"/>
  </w:num>
  <w:num w:numId="13">
    <w:abstractNumId w:val="4"/>
  </w:num>
  <w:num w:numId="14">
    <w:abstractNumId w:val="37"/>
  </w:num>
  <w:num w:numId="15">
    <w:abstractNumId w:val="22"/>
  </w:num>
  <w:num w:numId="16">
    <w:abstractNumId w:val="14"/>
  </w:num>
  <w:num w:numId="17">
    <w:abstractNumId w:val="17"/>
  </w:num>
  <w:num w:numId="18">
    <w:abstractNumId w:val="42"/>
  </w:num>
  <w:num w:numId="19">
    <w:abstractNumId w:val="23"/>
  </w:num>
  <w:num w:numId="20">
    <w:abstractNumId w:val="3"/>
  </w:num>
  <w:num w:numId="21">
    <w:abstractNumId w:val="15"/>
  </w:num>
  <w:num w:numId="22">
    <w:abstractNumId w:val="30"/>
  </w:num>
  <w:num w:numId="23">
    <w:abstractNumId w:val="10"/>
  </w:num>
  <w:num w:numId="24">
    <w:abstractNumId w:val="38"/>
  </w:num>
  <w:num w:numId="25">
    <w:abstractNumId w:val="25"/>
  </w:num>
  <w:num w:numId="26">
    <w:abstractNumId w:val="16"/>
  </w:num>
  <w:num w:numId="27">
    <w:abstractNumId w:val="6"/>
  </w:num>
  <w:num w:numId="28">
    <w:abstractNumId w:val="8"/>
  </w:num>
  <w:num w:numId="29">
    <w:abstractNumId w:val="26"/>
  </w:num>
  <w:num w:numId="30">
    <w:abstractNumId w:val="7"/>
  </w:num>
  <w:num w:numId="31">
    <w:abstractNumId w:val="19"/>
  </w:num>
  <w:num w:numId="32">
    <w:abstractNumId w:val="28"/>
  </w:num>
  <w:num w:numId="33">
    <w:abstractNumId w:val="24"/>
  </w:num>
  <w:num w:numId="34">
    <w:abstractNumId w:val="36"/>
  </w:num>
  <w:num w:numId="35">
    <w:abstractNumId w:val="43"/>
  </w:num>
  <w:num w:numId="36">
    <w:abstractNumId w:val="34"/>
  </w:num>
  <w:num w:numId="37">
    <w:abstractNumId w:val="33"/>
  </w:num>
  <w:num w:numId="38">
    <w:abstractNumId w:val="39"/>
  </w:num>
  <w:num w:numId="39">
    <w:abstractNumId w:val="29"/>
  </w:num>
  <w:num w:numId="40">
    <w:abstractNumId w:val="0"/>
  </w:num>
  <w:num w:numId="41">
    <w:abstractNumId w:val="31"/>
  </w:num>
  <w:num w:numId="42">
    <w:abstractNumId w:val="12"/>
  </w:num>
  <w:num w:numId="43">
    <w:abstractNumId w:val="40"/>
  </w:num>
  <w:num w:numId="44">
    <w:abstractNumId w:val="1"/>
  </w:num>
  <w:num w:numId="45">
    <w:abstractNumId w:val="9"/>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erze_sablony" w:val="2.1"/>
  </w:docVars>
  <w:rsids>
    <w:rsidRoot w:val="009708A5"/>
    <w:rsid w:val="00000222"/>
    <w:rsid w:val="00000509"/>
    <w:rsid w:val="0000132B"/>
    <w:rsid w:val="0000144F"/>
    <w:rsid w:val="000014AD"/>
    <w:rsid w:val="000015F3"/>
    <w:rsid w:val="00002A65"/>
    <w:rsid w:val="00002CEB"/>
    <w:rsid w:val="00002E58"/>
    <w:rsid w:val="0000325E"/>
    <w:rsid w:val="000035BF"/>
    <w:rsid w:val="00003C91"/>
    <w:rsid w:val="00003E85"/>
    <w:rsid w:val="000052A9"/>
    <w:rsid w:val="00005E75"/>
    <w:rsid w:val="00005F1D"/>
    <w:rsid w:val="000061AE"/>
    <w:rsid w:val="00006893"/>
    <w:rsid w:val="000072B6"/>
    <w:rsid w:val="0000776D"/>
    <w:rsid w:val="00007809"/>
    <w:rsid w:val="00007A45"/>
    <w:rsid w:val="00007AB2"/>
    <w:rsid w:val="000108BF"/>
    <w:rsid w:val="00010ED0"/>
    <w:rsid w:val="000114F4"/>
    <w:rsid w:val="00012942"/>
    <w:rsid w:val="00012C6B"/>
    <w:rsid w:val="00014465"/>
    <w:rsid w:val="0001485D"/>
    <w:rsid w:val="0001491C"/>
    <w:rsid w:val="00014CF4"/>
    <w:rsid w:val="00014CFD"/>
    <w:rsid w:val="000155B4"/>
    <w:rsid w:val="00015CE0"/>
    <w:rsid w:val="00015D19"/>
    <w:rsid w:val="00015DD9"/>
    <w:rsid w:val="000167EF"/>
    <w:rsid w:val="0001688E"/>
    <w:rsid w:val="00016F68"/>
    <w:rsid w:val="00017A8F"/>
    <w:rsid w:val="00020803"/>
    <w:rsid w:val="00020913"/>
    <w:rsid w:val="00020CC1"/>
    <w:rsid w:val="00021E3D"/>
    <w:rsid w:val="00021EE2"/>
    <w:rsid w:val="00022A4C"/>
    <w:rsid w:val="00023581"/>
    <w:rsid w:val="00023D7A"/>
    <w:rsid w:val="00024065"/>
    <w:rsid w:val="00024460"/>
    <w:rsid w:val="000248AD"/>
    <w:rsid w:val="00024A7F"/>
    <w:rsid w:val="00024F45"/>
    <w:rsid w:val="00025612"/>
    <w:rsid w:val="00025937"/>
    <w:rsid w:val="00025A20"/>
    <w:rsid w:val="00025F7A"/>
    <w:rsid w:val="00026AA9"/>
    <w:rsid w:val="000308E9"/>
    <w:rsid w:val="00031013"/>
    <w:rsid w:val="00031294"/>
    <w:rsid w:val="0003266B"/>
    <w:rsid w:val="000341FD"/>
    <w:rsid w:val="00034607"/>
    <w:rsid w:val="00035240"/>
    <w:rsid w:val="00035FCB"/>
    <w:rsid w:val="00036043"/>
    <w:rsid w:val="00036102"/>
    <w:rsid w:val="0003686C"/>
    <w:rsid w:val="00036AD5"/>
    <w:rsid w:val="00036E65"/>
    <w:rsid w:val="00037336"/>
    <w:rsid w:val="00037D1C"/>
    <w:rsid w:val="00040098"/>
    <w:rsid w:val="0004036F"/>
    <w:rsid w:val="00041039"/>
    <w:rsid w:val="0004115D"/>
    <w:rsid w:val="00041C1A"/>
    <w:rsid w:val="000429A1"/>
    <w:rsid w:val="00043BB3"/>
    <w:rsid w:val="00043EF5"/>
    <w:rsid w:val="000444D7"/>
    <w:rsid w:val="000457FD"/>
    <w:rsid w:val="000473B7"/>
    <w:rsid w:val="00047569"/>
    <w:rsid w:val="0005063A"/>
    <w:rsid w:val="000508C0"/>
    <w:rsid w:val="00050B67"/>
    <w:rsid w:val="00051286"/>
    <w:rsid w:val="000513D5"/>
    <w:rsid w:val="00051D0F"/>
    <w:rsid w:val="00052D1E"/>
    <w:rsid w:val="00052EE2"/>
    <w:rsid w:val="00054028"/>
    <w:rsid w:val="00054210"/>
    <w:rsid w:val="00054EB2"/>
    <w:rsid w:val="00055C37"/>
    <w:rsid w:val="00055E88"/>
    <w:rsid w:val="0005657B"/>
    <w:rsid w:val="00056797"/>
    <w:rsid w:val="00056CE9"/>
    <w:rsid w:val="000609F6"/>
    <w:rsid w:val="00060A2A"/>
    <w:rsid w:val="00060B58"/>
    <w:rsid w:val="00062C08"/>
    <w:rsid w:val="00062EEE"/>
    <w:rsid w:val="00063750"/>
    <w:rsid w:val="00064160"/>
    <w:rsid w:val="000645AF"/>
    <w:rsid w:val="00064AD8"/>
    <w:rsid w:val="00064E96"/>
    <w:rsid w:val="000657BD"/>
    <w:rsid w:val="000658CE"/>
    <w:rsid w:val="00065B46"/>
    <w:rsid w:val="0006625F"/>
    <w:rsid w:val="0006643E"/>
    <w:rsid w:val="000665CE"/>
    <w:rsid w:val="00066B34"/>
    <w:rsid w:val="00066E34"/>
    <w:rsid w:val="00066EE2"/>
    <w:rsid w:val="00067722"/>
    <w:rsid w:val="000677C3"/>
    <w:rsid w:val="00070A7D"/>
    <w:rsid w:val="00070C6E"/>
    <w:rsid w:val="00071668"/>
    <w:rsid w:val="000719F7"/>
    <w:rsid w:val="0007315F"/>
    <w:rsid w:val="00073F5E"/>
    <w:rsid w:val="00074576"/>
    <w:rsid w:val="00074A38"/>
    <w:rsid w:val="000761FB"/>
    <w:rsid w:val="000769E0"/>
    <w:rsid w:val="00076FCD"/>
    <w:rsid w:val="00077221"/>
    <w:rsid w:val="00077A1F"/>
    <w:rsid w:val="00080393"/>
    <w:rsid w:val="00080843"/>
    <w:rsid w:val="000810BE"/>
    <w:rsid w:val="00081125"/>
    <w:rsid w:val="0008134C"/>
    <w:rsid w:val="00081FA6"/>
    <w:rsid w:val="000820DE"/>
    <w:rsid w:val="00082D37"/>
    <w:rsid w:val="000833B4"/>
    <w:rsid w:val="00083FE3"/>
    <w:rsid w:val="00084B72"/>
    <w:rsid w:val="00087791"/>
    <w:rsid w:val="000879BE"/>
    <w:rsid w:val="00087A62"/>
    <w:rsid w:val="00087B1F"/>
    <w:rsid w:val="00090214"/>
    <w:rsid w:val="000904D8"/>
    <w:rsid w:val="00091037"/>
    <w:rsid w:val="00091133"/>
    <w:rsid w:val="0009224F"/>
    <w:rsid w:val="00092B02"/>
    <w:rsid w:val="00093A3F"/>
    <w:rsid w:val="00094B79"/>
    <w:rsid w:val="000950AC"/>
    <w:rsid w:val="00095494"/>
    <w:rsid w:val="000957A9"/>
    <w:rsid w:val="00095A31"/>
    <w:rsid w:val="00096FE4"/>
    <w:rsid w:val="00097BC9"/>
    <w:rsid w:val="000A1C64"/>
    <w:rsid w:val="000A225E"/>
    <w:rsid w:val="000A30C1"/>
    <w:rsid w:val="000A340C"/>
    <w:rsid w:val="000A468A"/>
    <w:rsid w:val="000A4E2F"/>
    <w:rsid w:val="000A5182"/>
    <w:rsid w:val="000A583F"/>
    <w:rsid w:val="000A5CED"/>
    <w:rsid w:val="000A5D66"/>
    <w:rsid w:val="000A658F"/>
    <w:rsid w:val="000A65C8"/>
    <w:rsid w:val="000A7060"/>
    <w:rsid w:val="000A7420"/>
    <w:rsid w:val="000B124E"/>
    <w:rsid w:val="000B17BA"/>
    <w:rsid w:val="000B2518"/>
    <w:rsid w:val="000B25FE"/>
    <w:rsid w:val="000B2DD0"/>
    <w:rsid w:val="000B2FEB"/>
    <w:rsid w:val="000B318D"/>
    <w:rsid w:val="000B32D0"/>
    <w:rsid w:val="000B3E6B"/>
    <w:rsid w:val="000B4D6D"/>
    <w:rsid w:val="000B5CD7"/>
    <w:rsid w:val="000B5D10"/>
    <w:rsid w:val="000B77A1"/>
    <w:rsid w:val="000C0DA8"/>
    <w:rsid w:val="000C21FD"/>
    <w:rsid w:val="000C2C69"/>
    <w:rsid w:val="000C47E3"/>
    <w:rsid w:val="000C486F"/>
    <w:rsid w:val="000C48A9"/>
    <w:rsid w:val="000C5E5A"/>
    <w:rsid w:val="000C62E9"/>
    <w:rsid w:val="000C637F"/>
    <w:rsid w:val="000C6671"/>
    <w:rsid w:val="000C6795"/>
    <w:rsid w:val="000C6AE9"/>
    <w:rsid w:val="000C7B07"/>
    <w:rsid w:val="000D13DD"/>
    <w:rsid w:val="000D22CC"/>
    <w:rsid w:val="000D2B9A"/>
    <w:rsid w:val="000D2CFD"/>
    <w:rsid w:val="000D3282"/>
    <w:rsid w:val="000D413F"/>
    <w:rsid w:val="000D453B"/>
    <w:rsid w:val="000D5F70"/>
    <w:rsid w:val="000D6118"/>
    <w:rsid w:val="000D61F7"/>
    <w:rsid w:val="000D6948"/>
    <w:rsid w:val="000D7043"/>
    <w:rsid w:val="000D7066"/>
    <w:rsid w:val="000D70BE"/>
    <w:rsid w:val="000E115B"/>
    <w:rsid w:val="000E1331"/>
    <w:rsid w:val="000E1669"/>
    <w:rsid w:val="000E419D"/>
    <w:rsid w:val="000E4E17"/>
    <w:rsid w:val="000E565B"/>
    <w:rsid w:val="000E5C3B"/>
    <w:rsid w:val="000E719D"/>
    <w:rsid w:val="000F06C8"/>
    <w:rsid w:val="000F0FFB"/>
    <w:rsid w:val="000F1BC6"/>
    <w:rsid w:val="000F2355"/>
    <w:rsid w:val="000F2526"/>
    <w:rsid w:val="000F274A"/>
    <w:rsid w:val="000F2A40"/>
    <w:rsid w:val="000F2FC2"/>
    <w:rsid w:val="000F3B19"/>
    <w:rsid w:val="000F410D"/>
    <w:rsid w:val="000F43D3"/>
    <w:rsid w:val="000F442D"/>
    <w:rsid w:val="000F4643"/>
    <w:rsid w:val="000F4E45"/>
    <w:rsid w:val="000F4F46"/>
    <w:rsid w:val="000F507E"/>
    <w:rsid w:val="000F540B"/>
    <w:rsid w:val="000F59CA"/>
    <w:rsid w:val="000F6072"/>
    <w:rsid w:val="000F634E"/>
    <w:rsid w:val="000F670A"/>
    <w:rsid w:val="000F6C63"/>
    <w:rsid w:val="001001C5"/>
    <w:rsid w:val="001014BC"/>
    <w:rsid w:val="00101B88"/>
    <w:rsid w:val="0010218C"/>
    <w:rsid w:val="001042F5"/>
    <w:rsid w:val="00104901"/>
    <w:rsid w:val="00107A93"/>
    <w:rsid w:val="0011043F"/>
    <w:rsid w:val="00110832"/>
    <w:rsid w:val="0011089D"/>
    <w:rsid w:val="00110912"/>
    <w:rsid w:val="001119A2"/>
    <w:rsid w:val="00111E26"/>
    <w:rsid w:val="00112280"/>
    <w:rsid w:val="00112B53"/>
    <w:rsid w:val="00113669"/>
    <w:rsid w:val="00113B1D"/>
    <w:rsid w:val="00113B70"/>
    <w:rsid w:val="00113EED"/>
    <w:rsid w:val="00114DD5"/>
    <w:rsid w:val="00114F44"/>
    <w:rsid w:val="001151A3"/>
    <w:rsid w:val="00115A73"/>
    <w:rsid w:val="00115C5E"/>
    <w:rsid w:val="00116066"/>
    <w:rsid w:val="00117FB2"/>
    <w:rsid w:val="001213FB"/>
    <w:rsid w:val="0012166A"/>
    <w:rsid w:val="001217C8"/>
    <w:rsid w:val="00121E48"/>
    <w:rsid w:val="00122573"/>
    <w:rsid w:val="00122699"/>
    <w:rsid w:val="0012291B"/>
    <w:rsid w:val="00122CB5"/>
    <w:rsid w:val="00122F17"/>
    <w:rsid w:val="00122F41"/>
    <w:rsid w:val="00123308"/>
    <w:rsid w:val="001235D1"/>
    <w:rsid w:val="00123AAB"/>
    <w:rsid w:val="00123ACD"/>
    <w:rsid w:val="00123BAF"/>
    <w:rsid w:val="00123DEC"/>
    <w:rsid w:val="00123F36"/>
    <w:rsid w:val="0012405E"/>
    <w:rsid w:val="001240D2"/>
    <w:rsid w:val="0012424E"/>
    <w:rsid w:val="001246A4"/>
    <w:rsid w:val="00124BBE"/>
    <w:rsid w:val="00124D9E"/>
    <w:rsid w:val="001250B5"/>
    <w:rsid w:val="00125318"/>
    <w:rsid w:val="0012571C"/>
    <w:rsid w:val="00125D20"/>
    <w:rsid w:val="00126341"/>
    <w:rsid w:val="001263D3"/>
    <w:rsid w:val="001272FE"/>
    <w:rsid w:val="001300EC"/>
    <w:rsid w:val="00131154"/>
    <w:rsid w:val="001316A6"/>
    <w:rsid w:val="00131FAB"/>
    <w:rsid w:val="001321A6"/>
    <w:rsid w:val="00132361"/>
    <w:rsid w:val="001324C9"/>
    <w:rsid w:val="0013266C"/>
    <w:rsid w:val="001327D4"/>
    <w:rsid w:val="001335D2"/>
    <w:rsid w:val="00134730"/>
    <w:rsid w:val="0013475B"/>
    <w:rsid w:val="00134992"/>
    <w:rsid w:val="001361F7"/>
    <w:rsid w:val="001368DE"/>
    <w:rsid w:val="00136A4B"/>
    <w:rsid w:val="0014181F"/>
    <w:rsid w:val="00141CF4"/>
    <w:rsid w:val="00142AB0"/>
    <w:rsid w:val="00142FC3"/>
    <w:rsid w:val="001434B5"/>
    <w:rsid w:val="00143711"/>
    <w:rsid w:val="001445FF"/>
    <w:rsid w:val="00145037"/>
    <w:rsid w:val="001450A3"/>
    <w:rsid w:val="00145499"/>
    <w:rsid w:val="0014588D"/>
    <w:rsid w:val="00145CBE"/>
    <w:rsid w:val="001476F8"/>
    <w:rsid w:val="00150037"/>
    <w:rsid w:val="001504F1"/>
    <w:rsid w:val="00150DB7"/>
    <w:rsid w:val="0015124F"/>
    <w:rsid w:val="001524DB"/>
    <w:rsid w:val="001528AB"/>
    <w:rsid w:val="00152A3A"/>
    <w:rsid w:val="00152C8B"/>
    <w:rsid w:val="00153204"/>
    <w:rsid w:val="00153AA4"/>
    <w:rsid w:val="001544FD"/>
    <w:rsid w:val="001552FC"/>
    <w:rsid w:val="0015586B"/>
    <w:rsid w:val="00155B98"/>
    <w:rsid w:val="00155D19"/>
    <w:rsid w:val="00155F8E"/>
    <w:rsid w:val="00156227"/>
    <w:rsid w:val="00156667"/>
    <w:rsid w:val="00157061"/>
    <w:rsid w:val="001578A4"/>
    <w:rsid w:val="001578D9"/>
    <w:rsid w:val="00157A55"/>
    <w:rsid w:val="00160ED3"/>
    <w:rsid w:val="001614E2"/>
    <w:rsid w:val="001617E3"/>
    <w:rsid w:val="0016193A"/>
    <w:rsid w:val="00162F18"/>
    <w:rsid w:val="0016385D"/>
    <w:rsid w:val="00164CD8"/>
    <w:rsid w:val="00164E31"/>
    <w:rsid w:val="00164FC2"/>
    <w:rsid w:val="0016611C"/>
    <w:rsid w:val="00166351"/>
    <w:rsid w:val="00166447"/>
    <w:rsid w:val="00166D8F"/>
    <w:rsid w:val="00166DDD"/>
    <w:rsid w:val="00167096"/>
    <w:rsid w:val="001671D8"/>
    <w:rsid w:val="0017084E"/>
    <w:rsid w:val="00170A30"/>
    <w:rsid w:val="00170B3F"/>
    <w:rsid w:val="00170F90"/>
    <w:rsid w:val="00170FFB"/>
    <w:rsid w:val="00171CDB"/>
    <w:rsid w:val="00172913"/>
    <w:rsid w:val="00173118"/>
    <w:rsid w:val="0017324F"/>
    <w:rsid w:val="00173A84"/>
    <w:rsid w:val="00173B36"/>
    <w:rsid w:val="00173D0C"/>
    <w:rsid w:val="00174924"/>
    <w:rsid w:val="00174ED8"/>
    <w:rsid w:val="0017591F"/>
    <w:rsid w:val="0017715C"/>
    <w:rsid w:val="001801AD"/>
    <w:rsid w:val="001809BA"/>
    <w:rsid w:val="00180D66"/>
    <w:rsid w:val="001818C6"/>
    <w:rsid w:val="00181D00"/>
    <w:rsid w:val="00182C77"/>
    <w:rsid w:val="00182CBA"/>
    <w:rsid w:val="00182F72"/>
    <w:rsid w:val="001830D0"/>
    <w:rsid w:val="00183164"/>
    <w:rsid w:val="00183641"/>
    <w:rsid w:val="001838DF"/>
    <w:rsid w:val="00184430"/>
    <w:rsid w:val="00184450"/>
    <w:rsid w:val="0018535E"/>
    <w:rsid w:val="001854ED"/>
    <w:rsid w:val="00185A6B"/>
    <w:rsid w:val="00185B1F"/>
    <w:rsid w:val="00187DA7"/>
    <w:rsid w:val="001907F6"/>
    <w:rsid w:val="00190984"/>
    <w:rsid w:val="001911E9"/>
    <w:rsid w:val="00192334"/>
    <w:rsid w:val="00192475"/>
    <w:rsid w:val="00192DCE"/>
    <w:rsid w:val="0019332C"/>
    <w:rsid w:val="001938E1"/>
    <w:rsid w:val="00193A47"/>
    <w:rsid w:val="00193DD5"/>
    <w:rsid w:val="00193EFE"/>
    <w:rsid w:val="001947F6"/>
    <w:rsid w:val="001949BB"/>
    <w:rsid w:val="00194A25"/>
    <w:rsid w:val="00195155"/>
    <w:rsid w:val="0019556D"/>
    <w:rsid w:val="00195BA7"/>
    <w:rsid w:val="00195DBC"/>
    <w:rsid w:val="0019607E"/>
    <w:rsid w:val="00196146"/>
    <w:rsid w:val="00196925"/>
    <w:rsid w:val="00196A3F"/>
    <w:rsid w:val="001978AF"/>
    <w:rsid w:val="00197DD3"/>
    <w:rsid w:val="00197DFF"/>
    <w:rsid w:val="001A099B"/>
    <w:rsid w:val="001A1072"/>
    <w:rsid w:val="001A1440"/>
    <w:rsid w:val="001A144D"/>
    <w:rsid w:val="001A1B21"/>
    <w:rsid w:val="001A20C5"/>
    <w:rsid w:val="001A2FF3"/>
    <w:rsid w:val="001A3925"/>
    <w:rsid w:val="001A3DB9"/>
    <w:rsid w:val="001A4B61"/>
    <w:rsid w:val="001A5C04"/>
    <w:rsid w:val="001A5E0D"/>
    <w:rsid w:val="001A60AE"/>
    <w:rsid w:val="001A7939"/>
    <w:rsid w:val="001A7C3E"/>
    <w:rsid w:val="001B0C8B"/>
    <w:rsid w:val="001B121C"/>
    <w:rsid w:val="001B278B"/>
    <w:rsid w:val="001B42CF"/>
    <w:rsid w:val="001B4838"/>
    <w:rsid w:val="001B4CD4"/>
    <w:rsid w:val="001B4D7A"/>
    <w:rsid w:val="001B56EE"/>
    <w:rsid w:val="001B579E"/>
    <w:rsid w:val="001B5C6E"/>
    <w:rsid w:val="001B60FC"/>
    <w:rsid w:val="001B67FE"/>
    <w:rsid w:val="001B69B2"/>
    <w:rsid w:val="001B6C5E"/>
    <w:rsid w:val="001B6D00"/>
    <w:rsid w:val="001B6E0D"/>
    <w:rsid w:val="001B6F49"/>
    <w:rsid w:val="001B7557"/>
    <w:rsid w:val="001B78F9"/>
    <w:rsid w:val="001B7ED5"/>
    <w:rsid w:val="001C01A7"/>
    <w:rsid w:val="001C0373"/>
    <w:rsid w:val="001C1D27"/>
    <w:rsid w:val="001C1E25"/>
    <w:rsid w:val="001C20E9"/>
    <w:rsid w:val="001C27CB"/>
    <w:rsid w:val="001C3CD2"/>
    <w:rsid w:val="001C668A"/>
    <w:rsid w:val="001C6E42"/>
    <w:rsid w:val="001C7376"/>
    <w:rsid w:val="001C7D60"/>
    <w:rsid w:val="001C7DE5"/>
    <w:rsid w:val="001D0101"/>
    <w:rsid w:val="001D03CE"/>
    <w:rsid w:val="001D13C4"/>
    <w:rsid w:val="001D1403"/>
    <w:rsid w:val="001D196D"/>
    <w:rsid w:val="001D1F27"/>
    <w:rsid w:val="001D2157"/>
    <w:rsid w:val="001D2D9E"/>
    <w:rsid w:val="001D3119"/>
    <w:rsid w:val="001D4746"/>
    <w:rsid w:val="001D494A"/>
    <w:rsid w:val="001D5449"/>
    <w:rsid w:val="001D552F"/>
    <w:rsid w:val="001D585C"/>
    <w:rsid w:val="001D5E06"/>
    <w:rsid w:val="001D5EDB"/>
    <w:rsid w:val="001D6135"/>
    <w:rsid w:val="001D67F4"/>
    <w:rsid w:val="001D72FD"/>
    <w:rsid w:val="001D7320"/>
    <w:rsid w:val="001D7440"/>
    <w:rsid w:val="001D783C"/>
    <w:rsid w:val="001D7C1D"/>
    <w:rsid w:val="001E04D7"/>
    <w:rsid w:val="001E057A"/>
    <w:rsid w:val="001E0784"/>
    <w:rsid w:val="001E11D9"/>
    <w:rsid w:val="001E147C"/>
    <w:rsid w:val="001E14AE"/>
    <w:rsid w:val="001E19B7"/>
    <w:rsid w:val="001E1B22"/>
    <w:rsid w:val="001E29C7"/>
    <w:rsid w:val="001E2C66"/>
    <w:rsid w:val="001E2D49"/>
    <w:rsid w:val="001E4EB5"/>
    <w:rsid w:val="001E56F2"/>
    <w:rsid w:val="001E58E5"/>
    <w:rsid w:val="001E5AE2"/>
    <w:rsid w:val="001E666E"/>
    <w:rsid w:val="001E69EA"/>
    <w:rsid w:val="001E7EB0"/>
    <w:rsid w:val="001F0180"/>
    <w:rsid w:val="001F0977"/>
    <w:rsid w:val="001F1B94"/>
    <w:rsid w:val="001F29FD"/>
    <w:rsid w:val="001F2EF9"/>
    <w:rsid w:val="001F3384"/>
    <w:rsid w:val="001F4809"/>
    <w:rsid w:val="001F4A27"/>
    <w:rsid w:val="001F4C1B"/>
    <w:rsid w:val="001F77CB"/>
    <w:rsid w:val="001F7B5B"/>
    <w:rsid w:val="001F7BC5"/>
    <w:rsid w:val="00200776"/>
    <w:rsid w:val="00202EF2"/>
    <w:rsid w:val="002032D1"/>
    <w:rsid w:val="00203A0A"/>
    <w:rsid w:val="00204F3D"/>
    <w:rsid w:val="00205062"/>
    <w:rsid w:val="00205D0B"/>
    <w:rsid w:val="002064F7"/>
    <w:rsid w:val="00206D5D"/>
    <w:rsid w:val="00207B6C"/>
    <w:rsid w:val="00210CEE"/>
    <w:rsid w:val="00211997"/>
    <w:rsid w:val="002136E4"/>
    <w:rsid w:val="00213D9B"/>
    <w:rsid w:val="00213E5E"/>
    <w:rsid w:val="00215164"/>
    <w:rsid w:val="002154F6"/>
    <w:rsid w:val="00216746"/>
    <w:rsid w:val="002167D1"/>
    <w:rsid w:val="00216CC5"/>
    <w:rsid w:val="00217963"/>
    <w:rsid w:val="002201F5"/>
    <w:rsid w:val="00221985"/>
    <w:rsid w:val="00221F4B"/>
    <w:rsid w:val="002220F2"/>
    <w:rsid w:val="00222591"/>
    <w:rsid w:val="002226AF"/>
    <w:rsid w:val="00222C56"/>
    <w:rsid w:val="00222F64"/>
    <w:rsid w:val="002231BB"/>
    <w:rsid w:val="00223CF2"/>
    <w:rsid w:val="00223D26"/>
    <w:rsid w:val="00224526"/>
    <w:rsid w:val="00224745"/>
    <w:rsid w:val="0022484B"/>
    <w:rsid w:val="0022485C"/>
    <w:rsid w:val="00224B8B"/>
    <w:rsid w:val="00224DB3"/>
    <w:rsid w:val="00224F88"/>
    <w:rsid w:val="0022555B"/>
    <w:rsid w:val="00225797"/>
    <w:rsid w:val="00225B62"/>
    <w:rsid w:val="002260FF"/>
    <w:rsid w:val="002270A0"/>
    <w:rsid w:val="00227B65"/>
    <w:rsid w:val="00227D9B"/>
    <w:rsid w:val="00231180"/>
    <w:rsid w:val="002317E6"/>
    <w:rsid w:val="0023181E"/>
    <w:rsid w:val="00231F74"/>
    <w:rsid w:val="002321CB"/>
    <w:rsid w:val="002326CB"/>
    <w:rsid w:val="00232B20"/>
    <w:rsid w:val="0023455F"/>
    <w:rsid w:val="002349D6"/>
    <w:rsid w:val="002357E2"/>
    <w:rsid w:val="00235B24"/>
    <w:rsid w:val="00235C78"/>
    <w:rsid w:val="002361C8"/>
    <w:rsid w:val="00236303"/>
    <w:rsid w:val="00236730"/>
    <w:rsid w:val="00236A2A"/>
    <w:rsid w:val="0023739E"/>
    <w:rsid w:val="00237BB5"/>
    <w:rsid w:val="002403A5"/>
    <w:rsid w:val="00240485"/>
    <w:rsid w:val="00240813"/>
    <w:rsid w:val="002409BD"/>
    <w:rsid w:val="00240AE7"/>
    <w:rsid w:val="0024168F"/>
    <w:rsid w:val="00241A80"/>
    <w:rsid w:val="002423FE"/>
    <w:rsid w:val="00242AFF"/>
    <w:rsid w:val="00247BD8"/>
    <w:rsid w:val="00252955"/>
    <w:rsid w:val="00252CDE"/>
    <w:rsid w:val="002532A8"/>
    <w:rsid w:val="0025384B"/>
    <w:rsid w:val="00253D76"/>
    <w:rsid w:val="002559F2"/>
    <w:rsid w:val="00256199"/>
    <w:rsid w:val="00256539"/>
    <w:rsid w:val="002568F5"/>
    <w:rsid w:val="00256966"/>
    <w:rsid w:val="00256C42"/>
    <w:rsid w:val="00256D17"/>
    <w:rsid w:val="00257613"/>
    <w:rsid w:val="002576E0"/>
    <w:rsid w:val="002579D5"/>
    <w:rsid w:val="00260019"/>
    <w:rsid w:val="0026018A"/>
    <w:rsid w:val="00260C0C"/>
    <w:rsid w:val="0026108A"/>
    <w:rsid w:val="00261694"/>
    <w:rsid w:val="0026179C"/>
    <w:rsid w:val="00262468"/>
    <w:rsid w:val="002626B6"/>
    <w:rsid w:val="0026303D"/>
    <w:rsid w:val="00263658"/>
    <w:rsid w:val="0026376A"/>
    <w:rsid w:val="00265086"/>
    <w:rsid w:val="00265299"/>
    <w:rsid w:val="002656EE"/>
    <w:rsid w:val="00266252"/>
    <w:rsid w:val="00266D76"/>
    <w:rsid w:val="002678A9"/>
    <w:rsid w:val="002678F6"/>
    <w:rsid w:val="002706DA"/>
    <w:rsid w:val="002713BA"/>
    <w:rsid w:val="00271CA4"/>
    <w:rsid w:val="00272137"/>
    <w:rsid w:val="00272265"/>
    <w:rsid w:val="00272997"/>
    <w:rsid w:val="002731FC"/>
    <w:rsid w:val="002732F5"/>
    <w:rsid w:val="00273F9A"/>
    <w:rsid w:val="0027478B"/>
    <w:rsid w:val="00274797"/>
    <w:rsid w:val="002770E3"/>
    <w:rsid w:val="002773C6"/>
    <w:rsid w:val="00280966"/>
    <w:rsid w:val="0028131B"/>
    <w:rsid w:val="00283A63"/>
    <w:rsid w:val="00283DB1"/>
    <w:rsid w:val="00283EE3"/>
    <w:rsid w:val="00284167"/>
    <w:rsid w:val="00284257"/>
    <w:rsid w:val="002847DF"/>
    <w:rsid w:val="00285640"/>
    <w:rsid w:val="00285ABF"/>
    <w:rsid w:val="0028677C"/>
    <w:rsid w:val="00287049"/>
    <w:rsid w:val="002870F0"/>
    <w:rsid w:val="0028760C"/>
    <w:rsid w:val="00287776"/>
    <w:rsid w:val="002878C2"/>
    <w:rsid w:val="002879BF"/>
    <w:rsid w:val="0029043A"/>
    <w:rsid w:val="00290E81"/>
    <w:rsid w:val="00291448"/>
    <w:rsid w:val="00291AC8"/>
    <w:rsid w:val="00292BE4"/>
    <w:rsid w:val="00292F69"/>
    <w:rsid w:val="002932F5"/>
    <w:rsid w:val="00295045"/>
    <w:rsid w:val="0029587E"/>
    <w:rsid w:val="00296D4E"/>
    <w:rsid w:val="002979B9"/>
    <w:rsid w:val="002A0CD2"/>
    <w:rsid w:val="002A1AF4"/>
    <w:rsid w:val="002A20DE"/>
    <w:rsid w:val="002A21FF"/>
    <w:rsid w:val="002A2290"/>
    <w:rsid w:val="002A2496"/>
    <w:rsid w:val="002A2A69"/>
    <w:rsid w:val="002A4398"/>
    <w:rsid w:val="002A4DF4"/>
    <w:rsid w:val="002A548A"/>
    <w:rsid w:val="002A5566"/>
    <w:rsid w:val="002A58EB"/>
    <w:rsid w:val="002A5BA6"/>
    <w:rsid w:val="002A6FDB"/>
    <w:rsid w:val="002A7EB2"/>
    <w:rsid w:val="002B05F8"/>
    <w:rsid w:val="002B0754"/>
    <w:rsid w:val="002B14D0"/>
    <w:rsid w:val="002B1C94"/>
    <w:rsid w:val="002B1CE0"/>
    <w:rsid w:val="002B279E"/>
    <w:rsid w:val="002B2B3B"/>
    <w:rsid w:val="002B2D8A"/>
    <w:rsid w:val="002B40DA"/>
    <w:rsid w:val="002B41E7"/>
    <w:rsid w:val="002B4804"/>
    <w:rsid w:val="002B511F"/>
    <w:rsid w:val="002B5BD2"/>
    <w:rsid w:val="002B5F90"/>
    <w:rsid w:val="002B63BE"/>
    <w:rsid w:val="002B6716"/>
    <w:rsid w:val="002B68DA"/>
    <w:rsid w:val="002B6E33"/>
    <w:rsid w:val="002B73E8"/>
    <w:rsid w:val="002B7D9F"/>
    <w:rsid w:val="002C04B0"/>
    <w:rsid w:val="002C1FF9"/>
    <w:rsid w:val="002C211C"/>
    <w:rsid w:val="002C371C"/>
    <w:rsid w:val="002C3BDA"/>
    <w:rsid w:val="002C5116"/>
    <w:rsid w:val="002C5BAA"/>
    <w:rsid w:val="002C697E"/>
    <w:rsid w:val="002C7651"/>
    <w:rsid w:val="002C7701"/>
    <w:rsid w:val="002D0014"/>
    <w:rsid w:val="002D0FF6"/>
    <w:rsid w:val="002D1A4A"/>
    <w:rsid w:val="002D1E02"/>
    <w:rsid w:val="002D1F43"/>
    <w:rsid w:val="002D1FF8"/>
    <w:rsid w:val="002D22F1"/>
    <w:rsid w:val="002D2324"/>
    <w:rsid w:val="002D2439"/>
    <w:rsid w:val="002D244D"/>
    <w:rsid w:val="002D2499"/>
    <w:rsid w:val="002D2941"/>
    <w:rsid w:val="002D3BCC"/>
    <w:rsid w:val="002D4204"/>
    <w:rsid w:val="002D4894"/>
    <w:rsid w:val="002D4A74"/>
    <w:rsid w:val="002D4F0D"/>
    <w:rsid w:val="002D51D4"/>
    <w:rsid w:val="002D56EF"/>
    <w:rsid w:val="002D5857"/>
    <w:rsid w:val="002D58CF"/>
    <w:rsid w:val="002D63FF"/>
    <w:rsid w:val="002D6774"/>
    <w:rsid w:val="002D7B5A"/>
    <w:rsid w:val="002D7DFD"/>
    <w:rsid w:val="002D7F3A"/>
    <w:rsid w:val="002E3139"/>
    <w:rsid w:val="002E31A5"/>
    <w:rsid w:val="002E412E"/>
    <w:rsid w:val="002E463F"/>
    <w:rsid w:val="002E4C6A"/>
    <w:rsid w:val="002E61F7"/>
    <w:rsid w:val="002E6719"/>
    <w:rsid w:val="002E679C"/>
    <w:rsid w:val="002E7B94"/>
    <w:rsid w:val="002F01E0"/>
    <w:rsid w:val="002F10C9"/>
    <w:rsid w:val="002F16D0"/>
    <w:rsid w:val="002F2607"/>
    <w:rsid w:val="002F27EC"/>
    <w:rsid w:val="002F41DF"/>
    <w:rsid w:val="002F41E8"/>
    <w:rsid w:val="002F489C"/>
    <w:rsid w:val="002F4931"/>
    <w:rsid w:val="002F49C3"/>
    <w:rsid w:val="002F4C96"/>
    <w:rsid w:val="002F506D"/>
    <w:rsid w:val="002F593A"/>
    <w:rsid w:val="002F6951"/>
    <w:rsid w:val="002F72A4"/>
    <w:rsid w:val="002F7823"/>
    <w:rsid w:val="002F7BD5"/>
    <w:rsid w:val="002F7D91"/>
    <w:rsid w:val="003016D6"/>
    <w:rsid w:val="00301E48"/>
    <w:rsid w:val="00301F01"/>
    <w:rsid w:val="00302A1C"/>
    <w:rsid w:val="00302DAE"/>
    <w:rsid w:val="00302FDF"/>
    <w:rsid w:val="00304091"/>
    <w:rsid w:val="003042EC"/>
    <w:rsid w:val="00304A61"/>
    <w:rsid w:val="0030550F"/>
    <w:rsid w:val="00305978"/>
    <w:rsid w:val="00306362"/>
    <w:rsid w:val="00306967"/>
    <w:rsid w:val="00306A52"/>
    <w:rsid w:val="00307236"/>
    <w:rsid w:val="0030740E"/>
    <w:rsid w:val="003077C0"/>
    <w:rsid w:val="003078CF"/>
    <w:rsid w:val="00307DC6"/>
    <w:rsid w:val="00310454"/>
    <w:rsid w:val="00310E3D"/>
    <w:rsid w:val="0031119D"/>
    <w:rsid w:val="00311B16"/>
    <w:rsid w:val="003121DE"/>
    <w:rsid w:val="003122F9"/>
    <w:rsid w:val="00312361"/>
    <w:rsid w:val="00312BA3"/>
    <w:rsid w:val="00312E99"/>
    <w:rsid w:val="00312E9A"/>
    <w:rsid w:val="00312F15"/>
    <w:rsid w:val="00313197"/>
    <w:rsid w:val="00313550"/>
    <w:rsid w:val="003136E5"/>
    <w:rsid w:val="00313D2E"/>
    <w:rsid w:val="00313EF5"/>
    <w:rsid w:val="0031463B"/>
    <w:rsid w:val="00314850"/>
    <w:rsid w:val="003148BB"/>
    <w:rsid w:val="00314928"/>
    <w:rsid w:val="00314A35"/>
    <w:rsid w:val="00316092"/>
    <w:rsid w:val="0031619B"/>
    <w:rsid w:val="00316E6D"/>
    <w:rsid w:val="00317520"/>
    <w:rsid w:val="00320877"/>
    <w:rsid w:val="003216E6"/>
    <w:rsid w:val="00321784"/>
    <w:rsid w:val="00321F9C"/>
    <w:rsid w:val="003221AE"/>
    <w:rsid w:val="00322420"/>
    <w:rsid w:val="003225E1"/>
    <w:rsid w:val="00323AC2"/>
    <w:rsid w:val="00323B14"/>
    <w:rsid w:val="003245BB"/>
    <w:rsid w:val="003245F6"/>
    <w:rsid w:val="00324716"/>
    <w:rsid w:val="0032570B"/>
    <w:rsid w:val="0032751D"/>
    <w:rsid w:val="00330ACB"/>
    <w:rsid w:val="0033268A"/>
    <w:rsid w:val="003335E2"/>
    <w:rsid w:val="00333D15"/>
    <w:rsid w:val="00333E64"/>
    <w:rsid w:val="00334C17"/>
    <w:rsid w:val="00335127"/>
    <w:rsid w:val="00335536"/>
    <w:rsid w:val="003355C3"/>
    <w:rsid w:val="00335760"/>
    <w:rsid w:val="003357A7"/>
    <w:rsid w:val="003357B0"/>
    <w:rsid w:val="00336257"/>
    <w:rsid w:val="00336384"/>
    <w:rsid w:val="00336CD4"/>
    <w:rsid w:val="00340E6B"/>
    <w:rsid w:val="003414F1"/>
    <w:rsid w:val="00341F34"/>
    <w:rsid w:val="003423D2"/>
    <w:rsid w:val="00342558"/>
    <w:rsid w:val="00342862"/>
    <w:rsid w:val="00342AF0"/>
    <w:rsid w:val="00342C69"/>
    <w:rsid w:val="00342D42"/>
    <w:rsid w:val="00342F76"/>
    <w:rsid w:val="00343850"/>
    <w:rsid w:val="00343B20"/>
    <w:rsid w:val="00344BBA"/>
    <w:rsid w:val="00346A7E"/>
    <w:rsid w:val="003473BE"/>
    <w:rsid w:val="00347CB1"/>
    <w:rsid w:val="00347F1C"/>
    <w:rsid w:val="00350203"/>
    <w:rsid w:val="00350C97"/>
    <w:rsid w:val="0035179A"/>
    <w:rsid w:val="00351EEE"/>
    <w:rsid w:val="00352427"/>
    <w:rsid w:val="003525AC"/>
    <w:rsid w:val="00352D02"/>
    <w:rsid w:val="00352EF2"/>
    <w:rsid w:val="003533A6"/>
    <w:rsid w:val="0035425C"/>
    <w:rsid w:val="00354E4B"/>
    <w:rsid w:val="00355B77"/>
    <w:rsid w:val="003563BD"/>
    <w:rsid w:val="0035649A"/>
    <w:rsid w:val="00356A92"/>
    <w:rsid w:val="00356B82"/>
    <w:rsid w:val="00356FC8"/>
    <w:rsid w:val="003611F0"/>
    <w:rsid w:val="00361ABC"/>
    <w:rsid w:val="00361C33"/>
    <w:rsid w:val="0036395C"/>
    <w:rsid w:val="003639E0"/>
    <w:rsid w:val="0036499A"/>
    <w:rsid w:val="00366184"/>
    <w:rsid w:val="0036631C"/>
    <w:rsid w:val="00367037"/>
    <w:rsid w:val="0036722E"/>
    <w:rsid w:val="00370010"/>
    <w:rsid w:val="00370058"/>
    <w:rsid w:val="00370241"/>
    <w:rsid w:val="003705BE"/>
    <w:rsid w:val="00370A29"/>
    <w:rsid w:val="003715CA"/>
    <w:rsid w:val="003725A9"/>
    <w:rsid w:val="003734FB"/>
    <w:rsid w:val="00373ACF"/>
    <w:rsid w:val="00373ED8"/>
    <w:rsid w:val="0037490C"/>
    <w:rsid w:val="0037512F"/>
    <w:rsid w:val="0037568F"/>
    <w:rsid w:val="00375A22"/>
    <w:rsid w:val="00376091"/>
    <w:rsid w:val="0037622A"/>
    <w:rsid w:val="00376671"/>
    <w:rsid w:val="00376BE3"/>
    <w:rsid w:val="00377A25"/>
    <w:rsid w:val="003801DF"/>
    <w:rsid w:val="00380912"/>
    <w:rsid w:val="00380956"/>
    <w:rsid w:val="00381099"/>
    <w:rsid w:val="003813FA"/>
    <w:rsid w:val="003819C6"/>
    <w:rsid w:val="00381E98"/>
    <w:rsid w:val="003822DC"/>
    <w:rsid w:val="0038233F"/>
    <w:rsid w:val="0038288F"/>
    <w:rsid w:val="00383331"/>
    <w:rsid w:val="00383652"/>
    <w:rsid w:val="00383A44"/>
    <w:rsid w:val="003840FA"/>
    <w:rsid w:val="00384E0C"/>
    <w:rsid w:val="00385A6F"/>
    <w:rsid w:val="00385AEB"/>
    <w:rsid w:val="00386225"/>
    <w:rsid w:val="003862D0"/>
    <w:rsid w:val="003869CF"/>
    <w:rsid w:val="00387BAB"/>
    <w:rsid w:val="0039083D"/>
    <w:rsid w:val="00391358"/>
    <w:rsid w:val="00391B82"/>
    <w:rsid w:val="00392070"/>
    <w:rsid w:val="00392563"/>
    <w:rsid w:val="0039266F"/>
    <w:rsid w:val="00392FAA"/>
    <w:rsid w:val="0039306E"/>
    <w:rsid w:val="00393B5D"/>
    <w:rsid w:val="00394592"/>
    <w:rsid w:val="003946E6"/>
    <w:rsid w:val="00394D67"/>
    <w:rsid w:val="00394F38"/>
    <w:rsid w:val="00395476"/>
    <w:rsid w:val="003956E5"/>
    <w:rsid w:val="00395AFE"/>
    <w:rsid w:val="00395DDA"/>
    <w:rsid w:val="00396315"/>
    <w:rsid w:val="00396448"/>
    <w:rsid w:val="0039691E"/>
    <w:rsid w:val="0039723B"/>
    <w:rsid w:val="003978C8"/>
    <w:rsid w:val="00397BDD"/>
    <w:rsid w:val="00397DAA"/>
    <w:rsid w:val="00397E09"/>
    <w:rsid w:val="003A0745"/>
    <w:rsid w:val="003A15CB"/>
    <w:rsid w:val="003A1F8A"/>
    <w:rsid w:val="003A21C3"/>
    <w:rsid w:val="003A24C2"/>
    <w:rsid w:val="003A271B"/>
    <w:rsid w:val="003A2D22"/>
    <w:rsid w:val="003A2E5A"/>
    <w:rsid w:val="003A3409"/>
    <w:rsid w:val="003A37BC"/>
    <w:rsid w:val="003A4766"/>
    <w:rsid w:val="003A52BC"/>
    <w:rsid w:val="003A6144"/>
    <w:rsid w:val="003A6E55"/>
    <w:rsid w:val="003A7621"/>
    <w:rsid w:val="003A767D"/>
    <w:rsid w:val="003B0609"/>
    <w:rsid w:val="003B0D1B"/>
    <w:rsid w:val="003B1AE3"/>
    <w:rsid w:val="003B2042"/>
    <w:rsid w:val="003B2C0C"/>
    <w:rsid w:val="003B3042"/>
    <w:rsid w:val="003B30AB"/>
    <w:rsid w:val="003B34D3"/>
    <w:rsid w:val="003B404B"/>
    <w:rsid w:val="003B437C"/>
    <w:rsid w:val="003B47F0"/>
    <w:rsid w:val="003B4863"/>
    <w:rsid w:val="003B4DD2"/>
    <w:rsid w:val="003B52C9"/>
    <w:rsid w:val="003B586D"/>
    <w:rsid w:val="003B66BD"/>
    <w:rsid w:val="003B6746"/>
    <w:rsid w:val="003B69FE"/>
    <w:rsid w:val="003B72CE"/>
    <w:rsid w:val="003B77FF"/>
    <w:rsid w:val="003B78CE"/>
    <w:rsid w:val="003C01CA"/>
    <w:rsid w:val="003C01E9"/>
    <w:rsid w:val="003C08EC"/>
    <w:rsid w:val="003C108E"/>
    <w:rsid w:val="003C127C"/>
    <w:rsid w:val="003C1803"/>
    <w:rsid w:val="003C18BC"/>
    <w:rsid w:val="003C24EA"/>
    <w:rsid w:val="003C259B"/>
    <w:rsid w:val="003C261A"/>
    <w:rsid w:val="003C26A3"/>
    <w:rsid w:val="003C465D"/>
    <w:rsid w:val="003C47D4"/>
    <w:rsid w:val="003C4CB0"/>
    <w:rsid w:val="003C53C6"/>
    <w:rsid w:val="003C55C6"/>
    <w:rsid w:val="003C68FC"/>
    <w:rsid w:val="003C6CF5"/>
    <w:rsid w:val="003C7311"/>
    <w:rsid w:val="003C7FA7"/>
    <w:rsid w:val="003D0BCD"/>
    <w:rsid w:val="003D0F23"/>
    <w:rsid w:val="003D0FD7"/>
    <w:rsid w:val="003D1247"/>
    <w:rsid w:val="003D1CA3"/>
    <w:rsid w:val="003D1E0D"/>
    <w:rsid w:val="003D1F25"/>
    <w:rsid w:val="003D24D2"/>
    <w:rsid w:val="003D2CF2"/>
    <w:rsid w:val="003D3FDF"/>
    <w:rsid w:val="003D455E"/>
    <w:rsid w:val="003D4565"/>
    <w:rsid w:val="003D5490"/>
    <w:rsid w:val="003D5ACA"/>
    <w:rsid w:val="003D5E85"/>
    <w:rsid w:val="003D65D3"/>
    <w:rsid w:val="003D6945"/>
    <w:rsid w:val="003D7505"/>
    <w:rsid w:val="003E023D"/>
    <w:rsid w:val="003E11DB"/>
    <w:rsid w:val="003E132E"/>
    <w:rsid w:val="003E13BE"/>
    <w:rsid w:val="003E15C7"/>
    <w:rsid w:val="003E19F6"/>
    <w:rsid w:val="003E2148"/>
    <w:rsid w:val="003E2EF2"/>
    <w:rsid w:val="003E3442"/>
    <w:rsid w:val="003E3B33"/>
    <w:rsid w:val="003E446B"/>
    <w:rsid w:val="003E5238"/>
    <w:rsid w:val="003E5D08"/>
    <w:rsid w:val="003E607A"/>
    <w:rsid w:val="003E6442"/>
    <w:rsid w:val="003E6EB0"/>
    <w:rsid w:val="003E77C1"/>
    <w:rsid w:val="003F030C"/>
    <w:rsid w:val="003F0799"/>
    <w:rsid w:val="003F089D"/>
    <w:rsid w:val="003F0E9C"/>
    <w:rsid w:val="003F257F"/>
    <w:rsid w:val="003F27DF"/>
    <w:rsid w:val="003F4C58"/>
    <w:rsid w:val="003F502D"/>
    <w:rsid w:val="003F531A"/>
    <w:rsid w:val="003F61CE"/>
    <w:rsid w:val="003F7997"/>
    <w:rsid w:val="004007D5"/>
    <w:rsid w:val="004009A8"/>
    <w:rsid w:val="004013DE"/>
    <w:rsid w:val="00401DA9"/>
    <w:rsid w:val="00402138"/>
    <w:rsid w:val="00402675"/>
    <w:rsid w:val="00402A44"/>
    <w:rsid w:val="00402C53"/>
    <w:rsid w:val="004032DD"/>
    <w:rsid w:val="004034F0"/>
    <w:rsid w:val="0040360A"/>
    <w:rsid w:val="00403C5D"/>
    <w:rsid w:val="00403ED6"/>
    <w:rsid w:val="00404BC7"/>
    <w:rsid w:val="00405016"/>
    <w:rsid w:val="00405463"/>
    <w:rsid w:val="004056C4"/>
    <w:rsid w:val="00405A58"/>
    <w:rsid w:val="00406FCE"/>
    <w:rsid w:val="00407006"/>
    <w:rsid w:val="004071EF"/>
    <w:rsid w:val="00410161"/>
    <w:rsid w:val="00411489"/>
    <w:rsid w:val="00412219"/>
    <w:rsid w:val="00412721"/>
    <w:rsid w:val="00412C89"/>
    <w:rsid w:val="00412CF3"/>
    <w:rsid w:val="00412EBE"/>
    <w:rsid w:val="004131D7"/>
    <w:rsid w:val="00413F45"/>
    <w:rsid w:val="00415DA5"/>
    <w:rsid w:val="00416BD9"/>
    <w:rsid w:val="004176E8"/>
    <w:rsid w:val="00422174"/>
    <w:rsid w:val="00422FC7"/>
    <w:rsid w:val="00423CF8"/>
    <w:rsid w:val="004242AB"/>
    <w:rsid w:val="00424631"/>
    <w:rsid w:val="00424C52"/>
    <w:rsid w:val="0042555A"/>
    <w:rsid w:val="004258F7"/>
    <w:rsid w:val="00425D63"/>
    <w:rsid w:val="004272DD"/>
    <w:rsid w:val="004274F5"/>
    <w:rsid w:val="0042793D"/>
    <w:rsid w:val="004279D1"/>
    <w:rsid w:val="00430607"/>
    <w:rsid w:val="004313F5"/>
    <w:rsid w:val="00431C1F"/>
    <w:rsid w:val="0043428A"/>
    <w:rsid w:val="00435297"/>
    <w:rsid w:val="00435D9C"/>
    <w:rsid w:val="00435E85"/>
    <w:rsid w:val="0043609D"/>
    <w:rsid w:val="00436114"/>
    <w:rsid w:val="00436B25"/>
    <w:rsid w:val="00437123"/>
    <w:rsid w:val="00437999"/>
    <w:rsid w:val="00437B7C"/>
    <w:rsid w:val="00437DD1"/>
    <w:rsid w:val="0044021B"/>
    <w:rsid w:val="0044061B"/>
    <w:rsid w:val="00441B8D"/>
    <w:rsid w:val="00441DC1"/>
    <w:rsid w:val="00441EB1"/>
    <w:rsid w:val="00441FA7"/>
    <w:rsid w:val="0044205E"/>
    <w:rsid w:val="0044234F"/>
    <w:rsid w:val="00442505"/>
    <w:rsid w:val="00442777"/>
    <w:rsid w:val="0044311D"/>
    <w:rsid w:val="004437F9"/>
    <w:rsid w:val="00444A20"/>
    <w:rsid w:val="00444DEA"/>
    <w:rsid w:val="00444E44"/>
    <w:rsid w:val="00444EE8"/>
    <w:rsid w:val="0044539D"/>
    <w:rsid w:val="00445EDD"/>
    <w:rsid w:val="00445EEF"/>
    <w:rsid w:val="00446510"/>
    <w:rsid w:val="004465D8"/>
    <w:rsid w:val="00446F1A"/>
    <w:rsid w:val="00446F90"/>
    <w:rsid w:val="004476DF"/>
    <w:rsid w:val="0045004A"/>
    <w:rsid w:val="004520EF"/>
    <w:rsid w:val="004525E9"/>
    <w:rsid w:val="00452781"/>
    <w:rsid w:val="00454048"/>
    <w:rsid w:val="0045456F"/>
    <w:rsid w:val="00454972"/>
    <w:rsid w:val="00454D9B"/>
    <w:rsid w:val="00455DCC"/>
    <w:rsid w:val="004561A8"/>
    <w:rsid w:val="00456B25"/>
    <w:rsid w:val="00457032"/>
    <w:rsid w:val="0045750A"/>
    <w:rsid w:val="0045784F"/>
    <w:rsid w:val="00457934"/>
    <w:rsid w:val="00457C85"/>
    <w:rsid w:val="00457CE3"/>
    <w:rsid w:val="0046000F"/>
    <w:rsid w:val="00461517"/>
    <w:rsid w:val="0046214E"/>
    <w:rsid w:val="00462FDD"/>
    <w:rsid w:val="004640B1"/>
    <w:rsid w:val="004645E4"/>
    <w:rsid w:val="0046473E"/>
    <w:rsid w:val="0046496F"/>
    <w:rsid w:val="00464A23"/>
    <w:rsid w:val="004650AC"/>
    <w:rsid w:val="0046598F"/>
    <w:rsid w:val="00465FAE"/>
    <w:rsid w:val="00466E71"/>
    <w:rsid w:val="004700A5"/>
    <w:rsid w:val="004703A7"/>
    <w:rsid w:val="004703DF"/>
    <w:rsid w:val="00470D60"/>
    <w:rsid w:val="00471B03"/>
    <w:rsid w:val="00471D11"/>
    <w:rsid w:val="00471F97"/>
    <w:rsid w:val="0047224B"/>
    <w:rsid w:val="004730A1"/>
    <w:rsid w:val="004730F4"/>
    <w:rsid w:val="0047322A"/>
    <w:rsid w:val="00473866"/>
    <w:rsid w:val="00473E0B"/>
    <w:rsid w:val="00474A69"/>
    <w:rsid w:val="004750BE"/>
    <w:rsid w:val="0047637E"/>
    <w:rsid w:val="00476726"/>
    <w:rsid w:val="004767F1"/>
    <w:rsid w:val="00477284"/>
    <w:rsid w:val="00477344"/>
    <w:rsid w:val="00477566"/>
    <w:rsid w:val="004804C9"/>
    <w:rsid w:val="00480E70"/>
    <w:rsid w:val="0048131E"/>
    <w:rsid w:val="00481D77"/>
    <w:rsid w:val="0048240A"/>
    <w:rsid w:val="00483397"/>
    <w:rsid w:val="0048346B"/>
    <w:rsid w:val="00485101"/>
    <w:rsid w:val="004861C2"/>
    <w:rsid w:val="00486DDD"/>
    <w:rsid w:val="00487C34"/>
    <w:rsid w:val="00490391"/>
    <w:rsid w:val="00490A1B"/>
    <w:rsid w:val="00490ED1"/>
    <w:rsid w:val="00491311"/>
    <w:rsid w:val="004914D1"/>
    <w:rsid w:val="00492A94"/>
    <w:rsid w:val="00492AB6"/>
    <w:rsid w:val="00492EE9"/>
    <w:rsid w:val="00494B6B"/>
    <w:rsid w:val="00495290"/>
    <w:rsid w:val="00495669"/>
    <w:rsid w:val="00496303"/>
    <w:rsid w:val="00496FD9"/>
    <w:rsid w:val="004974A1"/>
    <w:rsid w:val="004A10CE"/>
    <w:rsid w:val="004A1AB7"/>
    <w:rsid w:val="004A2E09"/>
    <w:rsid w:val="004A303E"/>
    <w:rsid w:val="004A32F6"/>
    <w:rsid w:val="004A36B4"/>
    <w:rsid w:val="004A3A0C"/>
    <w:rsid w:val="004A4A6B"/>
    <w:rsid w:val="004A4D32"/>
    <w:rsid w:val="004B02A6"/>
    <w:rsid w:val="004B070B"/>
    <w:rsid w:val="004B0AE2"/>
    <w:rsid w:val="004B1157"/>
    <w:rsid w:val="004B1EC7"/>
    <w:rsid w:val="004B2369"/>
    <w:rsid w:val="004B3537"/>
    <w:rsid w:val="004B4377"/>
    <w:rsid w:val="004B4E17"/>
    <w:rsid w:val="004B4EB8"/>
    <w:rsid w:val="004B553A"/>
    <w:rsid w:val="004B6078"/>
    <w:rsid w:val="004B69F7"/>
    <w:rsid w:val="004B7CE4"/>
    <w:rsid w:val="004C014A"/>
    <w:rsid w:val="004C0550"/>
    <w:rsid w:val="004C0FB2"/>
    <w:rsid w:val="004C12AF"/>
    <w:rsid w:val="004C1C25"/>
    <w:rsid w:val="004C2349"/>
    <w:rsid w:val="004C3A2F"/>
    <w:rsid w:val="004C3DDA"/>
    <w:rsid w:val="004C413F"/>
    <w:rsid w:val="004C4806"/>
    <w:rsid w:val="004C6229"/>
    <w:rsid w:val="004C7402"/>
    <w:rsid w:val="004C7441"/>
    <w:rsid w:val="004D0157"/>
    <w:rsid w:val="004D02BB"/>
    <w:rsid w:val="004D0942"/>
    <w:rsid w:val="004D1315"/>
    <w:rsid w:val="004D1A0A"/>
    <w:rsid w:val="004D1C94"/>
    <w:rsid w:val="004D3BB5"/>
    <w:rsid w:val="004D4098"/>
    <w:rsid w:val="004D41C2"/>
    <w:rsid w:val="004D42C8"/>
    <w:rsid w:val="004D46EB"/>
    <w:rsid w:val="004D579E"/>
    <w:rsid w:val="004D59F1"/>
    <w:rsid w:val="004D6796"/>
    <w:rsid w:val="004D6E94"/>
    <w:rsid w:val="004E012B"/>
    <w:rsid w:val="004E0533"/>
    <w:rsid w:val="004E0EA2"/>
    <w:rsid w:val="004E18D7"/>
    <w:rsid w:val="004E1A4A"/>
    <w:rsid w:val="004E1F7F"/>
    <w:rsid w:val="004E24B5"/>
    <w:rsid w:val="004E261E"/>
    <w:rsid w:val="004E2691"/>
    <w:rsid w:val="004E32CF"/>
    <w:rsid w:val="004E419D"/>
    <w:rsid w:val="004E4204"/>
    <w:rsid w:val="004E4403"/>
    <w:rsid w:val="004E56A7"/>
    <w:rsid w:val="004E5A78"/>
    <w:rsid w:val="004E5E79"/>
    <w:rsid w:val="004E6532"/>
    <w:rsid w:val="004E68A1"/>
    <w:rsid w:val="004E6F3A"/>
    <w:rsid w:val="004E751B"/>
    <w:rsid w:val="004E76DA"/>
    <w:rsid w:val="004E7E00"/>
    <w:rsid w:val="004F0675"/>
    <w:rsid w:val="004F0A24"/>
    <w:rsid w:val="004F0CA2"/>
    <w:rsid w:val="004F1050"/>
    <w:rsid w:val="004F16F6"/>
    <w:rsid w:val="004F21AA"/>
    <w:rsid w:val="004F2372"/>
    <w:rsid w:val="004F2ABF"/>
    <w:rsid w:val="004F3A92"/>
    <w:rsid w:val="004F3BF8"/>
    <w:rsid w:val="004F3DBA"/>
    <w:rsid w:val="004F41B9"/>
    <w:rsid w:val="004F4670"/>
    <w:rsid w:val="004F509B"/>
    <w:rsid w:val="004F5753"/>
    <w:rsid w:val="004F57C8"/>
    <w:rsid w:val="004F655A"/>
    <w:rsid w:val="004F67C1"/>
    <w:rsid w:val="004F6F86"/>
    <w:rsid w:val="004F7434"/>
    <w:rsid w:val="004F7499"/>
    <w:rsid w:val="004F782D"/>
    <w:rsid w:val="00500088"/>
    <w:rsid w:val="0050020B"/>
    <w:rsid w:val="005003D6"/>
    <w:rsid w:val="00500579"/>
    <w:rsid w:val="0050160D"/>
    <w:rsid w:val="00501AEE"/>
    <w:rsid w:val="00504058"/>
    <w:rsid w:val="00504AB4"/>
    <w:rsid w:val="00504D89"/>
    <w:rsid w:val="00505122"/>
    <w:rsid w:val="00505B18"/>
    <w:rsid w:val="00505FB1"/>
    <w:rsid w:val="00506270"/>
    <w:rsid w:val="005064C0"/>
    <w:rsid w:val="00506A4B"/>
    <w:rsid w:val="00507B4F"/>
    <w:rsid w:val="00510451"/>
    <w:rsid w:val="00511285"/>
    <w:rsid w:val="00511579"/>
    <w:rsid w:val="005139DF"/>
    <w:rsid w:val="00513C4E"/>
    <w:rsid w:val="0051459E"/>
    <w:rsid w:val="00514610"/>
    <w:rsid w:val="00514890"/>
    <w:rsid w:val="0051494D"/>
    <w:rsid w:val="00514E8B"/>
    <w:rsid w:val="0051593D"/>
    <w:rsid w:val="00515E31"/>
    <w:rsid w:val="00515E40"/>
    <w:rsid w:val="0051616C"/>
    <w:rsid w:val="00516841"/>
    <w:rsid w:val="00516AE2"/>
    <w:rsid w:val="00516CCC"/>
    <w:rsid w:val="00517A32"/>
    <w:rsid w:val="00517F2A"/>
    <w:rsid w:val="005209A2"/>
    <w:rsid w:val="00520A94"/>
    <w:rsid w:val="0052144F"/>
    <w:rsid w:val="005229A2"/>
    <w:rsid w:val="00522E8A"/>
    <w:rsid w:val="005244DB"/>
    <w:rsid w:val="00524F9E"/>
    <w:rsid w:val="00525325"/>
    <w:rsid w:val="00526461"/>
    <w:rsid w:val="00526C98"/>
    <w:rsid w:val="0053002F"/>
    <w:rsid w:val="005302CA"/>
    <w:rsid w:val="00530412"/>
    <w:rsid w:val="00530E67"/>
    <w:rsid w:val="00530EA4"/>
    <w:rsid w:val="00531560"/>
    <w:rsid w:val="005315EC"/>
    <w:rsid w:val="00532180"/>
    <w:rsid w:val="0053243C"/>
    <w:rsid w:val="0053343D"/>
    <w:rsid w:val="00533A6D"/>
    <w:rsid w:val="00533A97"/>
    <w:rsid w:val="00534537"/>
    <w:rsid w:val="00534BF0"/>
    <w:rsid w:val="00535847"/>
    <w:rsid w:val="00535A63"/>
    <w:rsid w:val="00535EF8"/>
    <w:rsid w:val="00536C1D"/>
    <w:rsid w:val="00537BB0"/>
    <w:rsid w:val="00541955"/>
    <w:rsid w:val="00542228"/>
    <w:rsid w:val="0054291B"/>
    <w:rsid w:val="00542D86"/>
    <w:rsid w:val="00542FDD"/>
    <w:rsid w:val="005439F3"/>
    <w:rsid w:val="00543C4B"/>
    <w:rsid w:val="00543F3D"/>
    <w:rsid w:val="005448FE"/>
    <w:rsid w:val="00545952"/>
    <w:rsid w:val="0055130A"/>
    <w:rsid w:val="00552227"/>
    <w:rsid w:val="00552386"/>
    <w:rsid w:val="0055263D"/>
    <w:rsid w:val="0055349F"/>
    <w:rsid w:val="00553BA2"/>
    <w:rsid w:val="00554229"/>
    <w:rsid w:val="00554257"/>
    <w:rsid w:val="0055475E"/>
    <w:rsid w:val="00555204"/>
    <w:rsid w:val="00557001"/>
    <w:rsid w:val="0055702D"/>
    <w:rsid w:val="0055721A"/>
    <w:rsid w:val="005572F1"/>
    <w:rsid w:val="00557833"/>
    <w:rsid w:val="005579C8"/>
    <w:rsid w:val="00557C41"/>
    <w:rsid w:val="005601C4"/>
    <w:rsid w:val="00560776"/>
    <w:rsid w:val="00560A35"/>
    <w:rsid w:val="005615E8"/>
    <w:rsid w:val="0056184C"/>
    <w:rsid w:val="0056195D"/>
    <w:rsid w:val="00561C8F"/>
    <w:rsid w:val="00562622"/>
    <w:rsid w:val="00562777"/>
    <w:rsid w:val="00562D49"/>
    <w:rsid w:val="00562F93"/>
    <w:rsid w:val="00563E12"/>
    <w:rsid w:val="00563F5D"/>
    <w:rsid w:val="00564124"/>
    <w:rsid w:val="00565813"/>
    <w:rsid w:val="005660F7"/>
    <w:rsid w:val="00566394"/>
    <w:rsid w:val="00566DA3"/>
    <w:rsid w:val="005704EE"/>
    <w:rsid w:val="0057085E"/>
    <w:rsid w:val="005708B9"/>
    <w:rsid w:val="00570A48"/>
    <w:rsid w:val="00570C3D"/>
    <w:rsid w:val="00570EE2"/>
    <w:rsid w:val="00571F20"/>
    <w:rsid w:val="00571FC7"/>
    <w:rsid w:val="00571FEC"/>
    <w:rsid w:val="00572021"/>
    <w:rsid w:val="00572490"/>
    <w:rsid w:val="00572799"/>
    <w:rsid w:val="0057291E"/>
    <w:rsid w:val="005729E1"/>
    <w:rsid w:val="00572A64"/>
    <w:rsid w:val="00572E6F"/>
    <w:rsid w:val="0057308D"/>
    <w:rsid w:val="0057389F"/>
    <w:rsid w:val="00573AA5"/>
    <w:rsid w:val="00573C03"/>
    <w:rsid w:val="00573F00"/>
    <w:rsid w:val="005740E8"/>
    <w:rsid w:val="00575EE4"/>
    <w:rsid w:val="00576235"/>
    <w:rsid w:val="005768CE"/>
    <w:rsid w:val="0057774B"/>
    <w:rsid w:val="005815FB"/>
    <w:rsid w:val="0058196A"/>
    <w:rsid w:val="005819AE"/>
    <w:rsid w:val="00582165"/>
    <w:rsid w:val="00582957"/>
    <w:rsid w:val="00582BC2"/>
    <w:rsid w:val="005835A4"/>
    <w:rsid w:val="005837A3"/>
    <w:rsid w:val="00583D02"/>
    <w:rsid w:val="00584655"/>
    <w:rsid w:val="00584DA8"/>
    <w:rsid w:val="00584FF0"/>
    <w:rsid w:val="0058508C"/>
    <w:rsid w:val="005855CD"/>
    <w:rsid w:val="00586CEF"/>
    <w:rsid w:val="00586F32"/>
    <w:rsid w:val="00587A0A"/>
    <w:rsid w:val="00587A2C"/>
    <w:rsid w:val="00590FE9"/>
    <w:rsid w:val="00592BBB"/>
    <w:rsid w:val="0059407E"/>
    <w:rsid w:val="0059412E"/>
    <w:rsid w:val="00594528"/>
    <w:rsid w:val="0059452E"/>
    <w:rsid w:val="005945F6"/>
    <w:rsid w:val="00594CD8"/>
    <w:rsid w:val="00594E7A"/>
    <w:rsid w:val="00595036"/>
    <w:rsid w:val="00595280"/>
    <w:rsid w:val="005954B2"/>
    <w:rsid w:val="00596E2D"/>
    <w:rsid w:val="005970B2"/>
    <w:rsid w:val="005979E2"/>
    <w:rsid w:val="00597EC9"/>
    <w:rsid w:val="005A0BA6"/>
    <w:rsid w:val="005A0C23"/>
    <w:rsid w:val="005A0FB2"/>
    <w:rsid w:val="005A14A3"/>
    <w:rsid w:val="005A1E2E"/>
    <w:rsid w:val="005A26FB"/>
    <w:rsid w:val="005A2C94"/>
    <w:rsid w:val="005A2E67"/>
    <w:rsid w:val="005A3E01"/>
    <w:rsid w:val="005A46B0"/>
    <w:rsid w:val="005A46BF"/>
    <w:rsid w:val="005A4F82"/>
    <w:rsid w:val="005A5C8A"/>
    <w:rsid w:val="005A6535"/>
    <w:rsid w:val="005A6554"/>
    <w:rsid w:val="005A731E"/>
    <w:rsid w:val="005A75FC"/>
    <w:rsid w:val="005A7B9E"/>
    <w:rsid w:val="005B0F59"/>
    <w:rsid w:val="005B1B72"/>
    <w:rsid w:val="005B1DFD"/>
    <w:rsid w:val="005B20FE"/>
    <w:rsid w:val="005B2AD8"/>
    <w:rsid w:val="005B2BF8"/>
    <w:rsid w:val="005B2C7F"/>
    <w:rsid w:val="005B2E83"/>
    <w:rsid w:val="005B38D9"/>
    <w:rsid w:val="005B571C"/>
    <w:rsid w:val="005B585B"/>
    <w:rsid w:val="005B676D"/>
    <w:rsid w:val="005B6EDD"/>
    <w:rsid w:val="005B743E"/>
    <w:rsid w:val="005B7535"/>
    <w:rsid w:val="005B7712"/>
    <w:rsid w:val="005C062D"/>
    <w:rsid w:val="005C0C3F"/>
    <w:rsid w:val="005C12EF"/>
    <w:rsid w:val="005C152E"/>
    <w:rsid w:val="005C2BEF"/>
    <w:rsid w:val="005C37E3"/>
    <w:rsid w:val="005C3928"/>
    <w:rsid w:val="005C39D8"/>
    <w:rsid w:val="005C4684"/>
    <w:rsid w:val="005C4AD0"/>
    <w:rsid w:val="005C4D3D"/>
    <w:rsid w:val="005C52EC"/>
    <w:rsid w:val="005C5D79"/>
    <w:rsid w:val="005C6A82"/>
    <w:rsid w:val="005C71AD"/>
    <w:rsid w:val="005C76EF"/>
    <w:rsid w:val="005D1763"/>
    <w:rsid w:val="005D255B"/>
    <w:rsid w:val="005D2702"/>
    <w:rsid w:val="005D4901"/>
    <w:rsid w:val="005D4B6F"/>
    <w:rsid w:val="005D4BB6"/>
    <w:rsid w:val="005D508C"/>
    <w:rsid w:val="005D639B"/>
    <w:rsid w:val="005D67C0"/>
    <w:rsid w:val="005E004D"/>
    <w:rsid w:val="005E1A37"/>
    <w:rsid w:val="005E24D0"/>
    <w:rsid w:val="005E2856"/>
    <w:rsid w:val="005E36D7"/>
    <w:rsid w:val="005E3DE6"/>
    <w:rsid w:val="005E4B79"/>
    <w:rsid w:val="005E5159"/>
    <w:rsid w:val="005E5958"/>
    <w:rsid w:val="005E6949"/>
    <w:rsid w:val="005E6DD6"/>
    <w:rsid w:val="005F1EB9"/>
    <w:rsid w:val="005F2498"/>
    <w:rsid w:val="005F28CE"/>
    <w:rsid w:val="005F2C00"/>
    <w:rsid w:val="005F3858"/>
    <w:rsid w:val="005F4044"/>
    <w:rsid w:val="005F43A0"/>
    <w:rsid w:val="005F4505"/>
    <w:rsid w:val="005F5070"/>
    <w:rsid w:val="005F5391"/>
    <w:rsid w:val="005F58DC"/>
    <w:rsid w:val="005F618F"/>
    <w:rsid w:val="005F67F6"/>
    <w:rsid w:val="005F6CEA"/>
    <w:rsid w:val="005F7003"/>
    <w:rsid w:val="005F72CE"/>
    <w:rsid w:val="005F7372"/>
    <w:rsid w:val="006004CD"/>
    <w:rsid w:val="006015B1"/>
    <w:rsid w:val="00601874"/>
    <w:rsid w:val="00602FC6"/>
    <w:rsid w:val="00603AC8"/>
    <w:rsid w:val="0060466D"/>
    <w:rsid w:val="00604B9D"/>
    <w:rsid w:val="00604DF1"/>
    <w:rsid w:val="006058AF"/>
    <w:rsid w:val="0060682D"/>
    <w:rsid w:val="00606845"/>
    <w:rsid w:val="0060755B"/>
    <w:rsid w:val="00610492"/>
    <w:rsid w:val="0061119D"/>
    <w:rsid w:val="0061166C"/>
    <w:rsid w:val="00611A17"/>
    <w:rsid w:val="00611D04"/>
    <w:rsid w:val="006133DB"/>
    <w:rsid w:val="006150A5"/>
    <w:rsid w:val="00615F73"/>
    <w:rsid w:val="00616351"/>
    <w:rsid w:val="00616DD5"/>
    <w:rsid w:val="006172A1"/>
    <w:rsid w:val="00621614"/>
    <w:rsid w:val="00621B72"/>
    <w:rsid w:val="0062213E"/>
    <w:rsid w:val="006226B0"/>
    <w:rsid w:val="00623583"/>
    <w:rsid w:val="00623CF8"/>
    <w:rsid w:val="006241FC"/>
    <w:rsid w:val="006242A2"/>
    <w:rsid w:val="006247C1"/>
    <w:rsid w:val="0062499C"/>
    <w:rsid w:val="00624DE4"/>
    <w:rsid w:val="00625167"/>
    <w:rsid w:val="0062520A"/>
    <w:rsid w:val="00625BD0"/>
    <w:rsid w:val="00625D51"/>
    <w:rsid w:val="006266F2"/>
    <w:rsid w:val="00626CFA"/>
    <w:rsid w:val="00626D5F"/>
    <w:rsid w:val="00627148"/>
    <w:rsid w:val="00627224"/>
    <w:rsid w:val="006279A6"/>
    <w:rsid w:val="00627A49"/>
    <w:rsid w:val="006308E0"/>
    <w:rsid w:val="0063180B"/>
    <w:rsid w:val="00633F65"/>
    <w:rsid w:val="0063401E"/>
    <w:rsid w:val="00634121"/>
    <w:rsid w:val="00634474"/>
    <w:rsid w:val="006346E8"/>
    <w:rsid w:val="0063476A"/>
    <w:rsid w:val="00634D14"/>
    <w:rsid w:val="006357EC"/>
    <w:rsid w:val="00635BCB"/>
    <w:rsid w:val="006362FA"/>
    <w:rsid w:val="00637109"/>
    <w:rsid w:val="006374FD"/>
    <w:rsid w:val="006376EE"/>
    <w:rsid w:val="006400D9"/>
    <w:rsid w:val="00640695"/>
    <w:rsid w:val="00640CDC"/>
    <w:rsid w:val="00641181"/>
    <w:rsid w:val="006411EF"/>
    <w:rsid w:val="006430FA"/>
    <w:rsid w:val="0064359B"/>
    <w:rsid w:val="0064383E"/>
    <w:rsid w:val="006439F8"/>
    <w:rsid w:val="00643BBA"/>
    <w:rsid w:val="00643C6E"/>
    <w:rsid w:val="006446EF"/>
    <w:rsid w:val="00645244"/>
    <w:rsid w:val="00645FF6"/>
    <w:rsid w:val="00646455"/>
    <w:rsid w:val="00646B65"/>
    <w:rsid w:val="006473F6"/>
    <w:rsid w:val="00651590"/>
    <w:rsid w:val="00651FAA"/>
    <w:rsid w:val="00652039"/>
    <w:rsid w:val="00652486"/>
    <w:rsid w:val="00652874"/>
    <w:rsid w:val="00652A52"/>
    <w:rsid w:val="006533CE"/>
    <w:rsid w:val="00653F76"/>
    <w:rsid w:val="0065446A"/>
    <w:rsid w:val="00655A05"/>
    <w:rsid w:val="00655EFE"/>
    <w:rsid w:val="00655F46"/>
    <w:rsid w:val="006564EA"/>
    <w:rsid w:val="00656603"/>
    <w:rsid w:val="0065666B"/>
    <w:rsid w:val="006573C5"/>
    <w:rsid w:val="00657653"/>
    <w:rsid w:val="006578F5"/>
    <w:rsid w:val="0066008F"/>
    <w:rsid w:val="00660CC6"/>
    <w:rsid w:val="00661059"/>
    <w:rsid w:val="006623BC"/>
    <w:rsid w:val="00663122"/>
    <w:rsid w:val="006635D6"/>
    <w:rsid w:val="00663658"/>
    <w:rsid w:val="006639B4"/>
    <w:rsid w:val="00663AC7"/>
    <w:rsid w:val="00664C1A"/>
    <w:rsid w:val="00664FDD"/>
    <w:rsid w:val="006657DF"/>
    <w:rsid w:val="006662BE"/>
    <w:rsid w:val="0066730C"/>
    <w:rsid w:val="006702FF"/>
    <w:rsid w:val="00670A7C"/>
    <w:rsid w:val="00671644"/>
    <w:rsid w:val="006729AE"/>
    <w:rsid w:val="006729FD"/>
    <w:rsid w:val="00672E81"/>
    <w:rsid w:val="00673629"/>
    <w:rsid w:val="006747EC"/>
    <w:rsid w:val="00675284"/>
    <w:rsid w:val="006757E5"/>
    <w:rsid w:val="006759F9"/>
    <w:rsid w:val="00675A8F"/>
    <w:rsid w:val="00675F8C"/>
    <w:rsid w:val="0067716D"/>
    <w:rsid w:val="006771E2"/>
    <w:rsid w:val="00677A44"/>
    <w:rsid w:val="00677AB8"/>
    <w:rsid w:val="006803FC"/>
    <w:rsid w:val="00680A00"/>
    <w:rsid w:val="0068142F"/>
    <w:rsid w:val="006815FB"/>
    <w:rsid w:val="00681F2E"/>
    <w:rsid w:val="00682D14"/>
    <w:rsid w:val="0068364D"/>
    <w:rsid w:val="00684478"/>
    <w:rsid w:val="00684DB8"/>
    <w:rsid w:val="0068519D"/>
    <w:rsid w:val="0068535E"/>
    <w:rsid w:val="0068541C"/>
    <w:rsid w:val="00685A35"/>
    <w:rsid w:val="006866B8"/>
    <w:rsid w:val="00690498"/>
    <w:rsid w:val="006911A6"/>
    <w:rsid w:val="006911BE"/>
    <w:rsid w:val="00691CF1"/>
    <w:rsid w:val="006928BF"/>
    <w:rsid w:val="00692D7D"/>
    <w:rsid w:val="00692E4E"/>
    <w:rsid w:val="006944FA"/>
    <w:rsid w:val="00694D32"/>
    <w:rsid w:val="00694F46"/>
    <w:rsid w:val="006950B9"/>
    <w:rsid w:val="00695300"/>
    <w:rsid w:val="00695BE5"/>
    <w:rsid w:val="00696A9A"/>
    <w:rsid w:val="006974A8"/>
    <w:rsid w:val="00697963"/>
    <w:rsid w:val="00697A03"/>
    <w:rsid w:val="006A1FBA"/>
    <w:rsid w:val="006A200A"/>
    <w:rsid w:val="006A2481"/>
    <w:rsid w:val="006A3A87"/>
    <w:rsid w:val="006A3FC7"/>
    <w:rsid w:val="006A427C"/>
    <w:rsid w:val="006A5103"/>
    <w:rsid w:val="006A52B7"/>
    <w:rsid w:val="006A52FF"/>
    <w:rsid w:val="006A5457"/>
    <w:rsid w:val="006A5766"/>
    <w:rsid w:val="006A64F8"/>
    <w:rsid w:val="006A65A5"/>
    <w:rsid w:val="006A6661"/>
    <w:rsid w:val="006A6F18"/>
    <w:rsid w:val="006A729E"/>
    <w:rsid w:val="006A7410"/>
    <w:rsid w:val="006A7437"/>
    <w:rsid w:val="006A756F"/>
    <w:rsid w:val="006A7766"/>
    <w:rsid w:val="006A7A8E"/>
    <w:rsid w:val="006B0222"/>
    <w:rsid w:val="006B131B"/>
    <w:rsid w:val="006B1C64"/>
    <w:rsid w:val="006B1E68"/>
    <w:rsid w:val="006B2727"/>
    <w:rsid w:val="006B28C5"/>
    <w:rsid w:val="006B2CDD"/>
    <w:rsid w:val="006B3BE6"/>
    <w:rsid w:val="006B3C8B"/>
    <w:rsid w:val="006B4D05"/>
    <w:rsid w:val="006B4E9B"/>
    <w:rsid w:val="006B516C"/>
    <w:rsid w:val="006B51D2"/>
    <w:rsid w:val="006B546A"/>
    <w:rsid w:val="006B57B4"/>
    <w:rsid w:val="006B6128"/>
    <w:rsid w:val="006B66F3"/>
    <w:rsid w:val="006B6724"/>
    <w:rsid w:val="006B7B99"/>
    <w:rsid w:val="006B7C00"/>
    <w:rsid w:val="006B7CA4"/>
    <w:rsid w:val="006C0107"/>
    <w:rsid w:val="006C0978"/>
    <w:rsid w:val="006C12DB"/>
    <w:rsid w:val="006C15AA"/>
    <w:rsid w:val="006C2102"/>
    <w:rsid w:val="006C237D"/>
    <w:rsid w:val="006C247C"/>
    <w:rsid w:val="006C2A5D"/>
    <w:rsid w:val="006C2DE8"/>
    <w:rsid w:val="006C46DE"/>
    <w:rsid w:val="006C57F4"/>
    <w:rsid w:val="006C5E6D"/>
    <w:rsid w:val="006C7878"/>
    <w:rsid w:val="006C7BFD"/>
    <w:rsid w:val="006D011B"/>
    <w:rsid w:val="006D02BB"/>
    <w:rsid w:val="006D0326"/>
    <w:rsid w:val="006D03D9"/>
    <w:rsid w:val="006D2BBB"/>
    <w:rsid w:val="006D2D08"/>
    <w:rsid w:val="006D2DE8"/>
    <w:rsid w:val="006D311E"/>
    <w:rsid w:val="006D38FC"/>
    <w:rsid w:val="006D3F96"/>
    <w:rsid w:val="006D4DF2"/>
    <w:rsid w:val="006D5AA8"/>
    <w:rsid w:val="006D5CEA"/>
    <w:rsid w:val="006D6E79"/>
    <w:rsid w:val="006D7156"/>
    <w:rsid w:val="006D7342"/>
    <w:rsid w:val="006E0C1A"/>
    <w:rsid w:val="006E1176"/>
    <w:rsid w:val="006E124D"/>
    <w:rsid w:val="006E1266"/>
    <w:rsid w:val="006E195A"/>
    <w:rsid w:val="006E1E34"/>
    <w:rsid w:val="006E37E4"/>
    <w:rsid w:val="006E3C22"/>
    <w:rsid w:val="006E3E83"/>
    <w:rsid w:val="006E4832"/>
    <w:rsid w:val="006E489A"/>
    <w:rsid w:val="006E504D"/>
    <w:rsid w:val="006E5B60"/>
    <w:rsid w:val="006E6A61"/>
    <w:rsid w:val="006E6DA3"/>
    <w:rsid w:val="006E7A8B"/>
    <w:rsid w:val="006F0501"/>
    <w:rsid w:val="006F20E3"/>
    <w:rsid w:val="006F235C"/>
    <w:rsid w:val="006F4B78"/>
    <w:rsid w:val="006F4B8B"/>
    <w:rsid w:val="006F4C6F"/>
    <w:rsid w:val="006F741C"/>
    <w:rsid w:val="006F74CF"/>
    <w:rsid w:val="006F7B7C"/>
    <w:rsid w:val="006F7CAE"/>
    <w:rsid w:val="007004F7"/>
    <w:rsid w:val="00700FFB"/>
    <w:rsid w:val="0070123B"/>
    <w:rsid w:val="007013DC"/>
    <w:rsid w:val="007016B5"/>
    <w:rsid w:val="007018FC"/>
    <w:rsid w:val="00701BB6"/>
    <w:rsid w:val="00701E8D"/>
    <w:rsid w:val="00702205"/>
    <w:rsid w:val="0070279E"/>
    <w:rsid w:val="00702991"/>
    <w:rsid w:val="00704014"/>
    <w:rsid w:val="00704035"/>
    <w:rsid w:val="007042E9"/>
    <w:rsid w:val="00704739"/>
    <w:rsid w:val="007049A5"/>
    <w:rsid w:val="00704B7C"/>
    <w:rsid w:val="00704F1E"/>
    <w:rsid w:val="00705233"/>
    <w:rsid w:val="00705FE8"/>
    <w:rsid w:val="00706396"/>
    <w:rsid w:val="00706670"/>
    <w:rsid w:val="00706A6F"/>
    <w:rsid w:val="00706F67"/>
    <w:rsid w:val="007108DF"/>
    <w:rsid w:val="0071138D"/>
    <w:rsid w:val="007114AC"/>
    <w:rsid w:val="0071189C"/>
    <w:rsid w:val="00711951"/>
    <w:rsid w:val="00711D48"/>
    <w:rsid w:val="00715509"/>
    <w:rsid w:val="00715A0C"/>
    <w:rsid w:val="00715D11"/>
    <w:rsid w:val="00715E9D"/>
    <w:rsid w:val="0071637D"/>
    <w:rsid w:val="00716A2A"/>
    <w:rsid w:val="00717A05"/>
    <w:rsid w:val="00717AD6"/>
    <w:rsid w:val="007204BE"/>
    <w:rsid w:val="0072099C"/>
    <w:rsid w:val="00720BB3"/>
    <w:rsid w:val="00720F4C"/>
    <w:rsid w:val="0072142D"/>
    <w:rsid w:val="0072261F"/>
    <w:rsid w:val="00722B0A"/>
    <w:rsid w:val="00723348"/>
    <w:rsid w:val="007237CB"/>
    <w:rsid w:val="00723C49"/>
    <w:rsid w:val="00723D4D"/>
    <w:rsid w:val="0072420B"/>
    <w:rsid w:val="007249FD"/>
    <w:rsid w:val="00725516"/>
    <w:rsid w:val="00726398"/>
    <w:rsid w:val="0072649B"/>
    <w:rsid w:val="00726FF0"/>
    <w:rsid w:val="007273BC"/>
    <w:rsid w:val="0073125C"/>
    <w:rsid w:val="00731320"/>
    <w:rsid w:val="007322DA"/>
    <w:rsid w:val="007324B3"/>
    <w:rsid w:val="00732906"/>
    <w:rsid w:val="00733073"/>
    <w:rsid w:val="0073346E"/>
    <w:rsid w:val="00734EB5"/>
    <w:rsid w:val="0073558B"/>
    <w:rsid w:val="007358C0"/>
    <w:rsid w:val="00735B60"/>
    <w:rsid w:val="00735C80"/>
    <w:rsid w:val="00736147"/>
    <w:rsid w:val="00736E14"/>
    <w:rsid w:val="00737C4B"/>
    <w:rsid w:val="00740AF4"/>
    <w:rsid w:val="00741518"/>
    <w:rsid w:val="00741BEB"/>
    <w:rsid w:val="00742B85"/>
    <w:rsid w:val="007433E3"/>
    <w:rsid w:val="0074479A"/>
    <w:rsid w:val="0074485C"/>
    <w:rsid w:val="007452A6"/>
    <w:rsid w:val="007516C4"/>
    <w:rsid w:val="00751AF9"/>
    <w:rsid w:val="0075256C"/>
    <w:rsid w:val="0075261A"/>
    <w:rsid w:val="00752B84"/>
    <w:rsid w:val="00752BDB"/>
    <w:rsid w:val="00752CDF"/>
    <w:rsid w:val="0075338B"/>
    <w:rsid w:val="00754751"/>
    <w:rsid w:val="00754E13"/>
    <w:rsid w:val="00755400"/>
    <w:rsid w:val="00755DED"/>
    <w:rsid w:val="0075621D"/>
    <w:rsid w:val="00756710"/>
    <w:rsid w:val="00756A88"/>
    <w:rsid w:val="00756E6F"/>
    <w:rsid w:val="00756F5D"/>
    <w:rsid w:val="00757526"/>
    <w:rsid w:val="00760C65"/>
    <w:rsid w:val="00760CF6"/>
    <w:rsid w:val="00761244"/>
    <w:rsid w:val="00762286"/>
    <w:rsid w:val="007629B2"/>
    <w:rsid w:val="00762D1B"/>
    <w:rsid w:val="00762EED"/>
    <w:rsid w:val="00763349"/>
    <w:rsid w:val="0076336E"/>
    <w:rsid w:val="0076412A"/>
    <w:rsid w:val="0076463A"/>
    <w:rsid w:val="00764CBE"/>
    <w:rsid w:val="007653B4"/>
    <w:rsid w:val="00765F06"/>
    <w:rsid w:val="00767531"/>
    <w:rsid w:val="0076784E"/>
    <w:rsid w:val="00770370"/>
    <w:rsid w:val="00770AE1"/>
    <w:rsid w:val="007711D6"/>
    <w:rsid w:val="00771920"/>
    <w:rsid w:val="00772732"/>
    <w:rsid w:val="00772E2A"/>
    <w:rsid w:val="00772FB1"/>
    <w:rsid w:val="00773116"/>
    <w:rsid w:val="0077319E"/>
    <w:rsid w:val="0077472A"/>
    <w:rsid w:val="00774CFF"/>
    <w:rsid w:val="00774E3F"/>
    <w:rsid w:val="007756B0"/>
    <w:rsid w:val="007760EC"/>
    <w:rsid w:val="00776629"/>
    <w:rsid w:val="0077672D"/>
    <w:rsid w:val="00781E84"/>
    <w:rsid w:val="0078216D"/>
    <w:rsid w:val="00782714"/>
    <w:rsid w:val="00783170"/>
    <w:rsid w:val="0078386F"/>
    <w:rsid w:val="007846D9"/>
    <w:rsid w:val="00784C76"/>
    <w:rsid w:val="00785862"/>
    <w:rsid w:val="00787239"/>
    <w:rsid w:val="007911C7"/>
    <w:rsid w:val="00791C5A"/>
    <w:rsid w:val="007920A2"/>
    <w:rsid w:val="007928A7"/>
    <w:rsid w:val="00792F2A"/>
    <w:rsid w:val="00793F19"/>
    <w:rsid w:val="007950F4"/>
    <w:rsid w:val="00795BD5"/>
    <w:rsid w:val="0079603B"/>
    <w:rsid w:val="00796126"/>
    <w:rsid w:val="007965D1"/>
    <w:rsid w:val="00796EBD"/>
    <w:rsid w:val="00797192"/>
    <w:rsid w:val="00797224"/>
    <w:rsid w:val="00797ED9"/>
    <w:rsid w:val="007A00BA"/>
    <w:rsid w:val="007A11F4"/>
    <w:rsid w:val="007A17A1"/>
    <w:rsid w:val="007A1906"/>
    <w:rsid w:val="007A2144"/>
    <w:rsid w:val="007A2D63"/>
    <w:rsid w:val="007A4575"/>
    <w:rsid w:val="007A4BCA"/>
    <w:rsid w:val="007A56EA"/>
    <w:rsid w:val="007A5C2C"/>
    <w:rsid w:val="007A70F5"/>
    <w:rsid w:val="007A74E7"/>
    <w:rsid w:val="007A75E3"/>
    <w:rsid w:val="007B0504"/>
    <w:rsid w:val="007B172E"/>
    <w:rsid w:val="007B18C5"/>
    <w:rsid w:val="007B1CAA"/>
    <w:rsid w:val="007B2A48"/>
    <w:rsid w:val="007B2AFE"/>
    <w:rsid w:val="007B2FD1"/>
    <w:rsid w:val="007B42D1"/>
    <w:rsid w:val="007B50C5"/>
    <w:rsid w:val="007B577E"/>
    <w:rsid w:val="007B5928"/>
    <w:rsid w:val="007B60C3"/>
    <w:rsid w:val="007B740C"/>
    <w:rsid w:val="007C01C4"/>
    <w:rsid w:val="007C0C6E"/>
    <w:rsid w:val="007C0C8A"/>
    <w:rsid w:val="007C10BB"/>
    <w:rsid w:val="007C15B9"/>
    <w:rsid w:val="007C1D0C"/>
    <w:rsid w:val="007C22BF"/>
    <w:rsid w:val="007C238A"/>
    <w:rsid w:val="007C2F78"/>
    <w:rsid w:val="007C2F84"/>
    <w:rsid w:val="007C303D"/>
    <w:rsid w:val="007C32B1"/>
    <w:rsid w:val="007C49F2"/>
    <w:rsid w:val="007C5487"/>
    <w:rsid w:val="007C5C48"/>
    <w:rsid w:val="007C5E5C"/>
    <w:rsid w:val="007C752F"/>
    <w:rsid w:val="007C7744"/>
    <w:rsid w:val="007D0234"/>
    <w:rsid w:val="007D0EEC"/>
    <w:rsid w:val="007D213F"/>
    <w:rsid w:val="007D2238"/>
    <w:rsid w:val="007D260E"/>
    <w:rsid w:val="007D2713"/>
    <w:rsid w:val="007D2855"/>
    <w:rsid w:val="007D2A74"/>
    <w:rsid w:val="007D2CAF"/>
    <w:rsid w:val="007D3D8C"/>
    <w:rsid w:val="007D3EF8"/>
    <w:rsid w:val="007D4208"/>
    <w:rsid w:val="007D4516"/>
    <w:rsid w:val="007D4C85"/>
    <w:rsid w:val="007D4F3A"/>
    <w:rsid w:val="007D6A93"/>
    <w:rsid w:val="007D6E20"/>
    <w:rsid w:val="007D7730"/>
    <w:rsid w:val="007D7DE2"/>
    <w:rsid w:val="007D7ED7"/>
    <w:rsid w:val="007E036E"/>
    <w:rsid w:val="007E094D"/>
    <w:rsid w:val="007E1265"/>
    <w:rsid w:val="007E1956"/>
    <w:rsid w:val="007E1B8F"/>
    <w:rsid w:val="007E21F4"/>
    <w:rsid w:val="007E2B65"/>
    <w:rsid w:val="007E2E9A"/>
    <w:rsid w:val="007E38CE"/>
    <w:rsid w:val="007E4B87"/>
    <w:rsid w:val="007E5AB5"/>
    <w:rsid w:val="007E5BC8"/>
    <w:rsid w:val="007E5CDE"/>
    <w:rsid w:val="007E6B28"/>
    <w:rsid w:val="007E79D6"/>
    <w:rsid w:val="007E7DED"/>
    <w:rsid w:val="007F09F3"/>
    <w:rsid w:val="007F0D46"/>
    <w:rsid w:val="007F0EF0"/>
    <w:rsid w:val="007F1037"/>
    <w:rsid w:val="007F17FB"/>
    <w:rsid w:val="007F2017"/>
    <w:rsid w:val="007F269A"/>
    <w:rsid w:val="007F3097"/>
    <w:rsid w:val="007F391B"/>
    <w:rsid w:val="007F41B9"/>
    <w:rsid w:val="007F46AD"/>
    <w:rsid w:val="007F47B1"/>
    <w:rsid w:val="007F4997"/>
    <w:rsid w:val="007F518A"/>
    <w:rsid w:val="007F5286"/>
    <w:rsid w:val="008007F2"/>
    <w:rsid w:val="00801754"/>
    <w:rsid w:val="00801FB3"/>
    <w:rsid w:val="00802E71"/>
    <w:rsid w:val="008035B9"/>
    <w:rsid w:val="008042B5"/>
    <w:rsid w:val="00804C8C"/>
    <w:rsid w:val="00805F4F"/>
    <w:rsid w:val="00806A53"/>
    <w:rsid w:val="008079FD"/>
    <w:rsid w:val="00811801"/>
    <w:rsid w:val="008118E5"/>
    <w:rsid w:val="00812214"/>
    <w:rsid w:val="00813A40"/>
    <w:rsid w:val="00814D58"/>
    <w:rsid w:val="008159F3"/>
    <w:rsid w:val="00815F5B"/>
    <w:rsid w:val="008169D1"/>
    <w:rsid w:val="008178C2"/>
    <w:rsid w:val="00817AC3"/>
    <w:rsid w:val="00817B92"/>
    <w:rsid w:val="00820302"/>
    <w:rsid w:val="008206A2"/>
    <w:rsid w:val="0082085F"/>
    <w:rsid w:val="00820CA7"/>
    <w:rsid w:val="008215DC"/>
    <w:rsid w:val="00821A14"/>
    <w:rsid w:val="00823666"/>
    <w:rsid w:val="008236F0"/>
    <w:rsid w:val="00823828"/>
    <w:rsid w:val="00823A5A"/>
    <w:rsid w:val="00823F22"/>
    <w:rsid w:val="00825134"/>
    <w:rsid w:val="00825474"/>
    <w:rsid w:val="008254E7"/>
    <w:rsid w:val="00825827"/>
    <w:rsid w:val="008258BA"/>
    <w:rsid w:val="00826917"/>
    <w:rsid w:val="00826952"/>
    <w:rsid w:val="00827B8D"/>
    <w:rsid w:val="00830A32"/>
    <w:rsid w:val="00830DED"/>
    <w:rsid w:val="00830FFF"/>
    <w:rsid w:val="00831AD1"/>
    <w:rsid w:val="00832967"/>
    <w:rsid w:val="00832DF8"/>
    <w:rsid w:val="00832E28"/>
    <w:rsid w:val="0083325E"/>
    <w:rsid w:val="00833683"/>
    <w:rsid w:val="00833AA5"/>
    <w:rsid w:val="00833DD4"/>
    <w:rsid w:val="00833E14"/>
    <w:rsid w:val="00834D78"/>
    <w:rsid w:val="00834DF8"/>
    <w:rsid w:val="008355F2"/>
    <w:rsid w:val="00835C68"/>
    <w:rsid w:val="00836058"/>
    <w:rsid w:val="0083619C"/>
    <w:rsid w:val="0083676E"/>
    <w:rsid w:val="00837090"/>
    <w:rsid w:val="0083786F"/>
    <w:rsid w:val="00840287"/>
    <w:rsid w:val="0084057F"/>
    <w:rsid w:val="008405A0"/>
    <w:rsid w:val="00840D51"/>
    <w:rsid w:val="00840E43"/>
    <w:rsid w:val="0084103E"/>
    <w:rsid w:val="008419A8"/>
    <w:rsid w:val="00842AFA"/>
    <w:rsid w:val="00843B7F"/>
    <w:rsid w:val="00843ECE"/>
    <w:rsid w:val="008444DA"/>
    <w:rsid w:val="00844FF6"/>
    <w:rsid w:val="0084556C"/>
    <w:rsid w:val="00846030"/>
    <w:rsid w:val="008467C8"/>
    <w:rsid w:val="00846B21"/>
    <w:rsid w:val="00846D58"/>
    <w:rsid w:val="00847B12"/>
    <w:rsid w:val="00850401"/>
    <w:rsid w:val="00851047"/>
    <w:rsid w:val="00851404"/>
    <w:rsid w:val="008515E2"/>
    <w:rsid w:val="00851970"/>
    <w:rsid w:val="008523AE"/>
    <w:rsid w:val="008529CE"/>
    <w:rsid w:val="00852F93"/>
    <w:rsid w:val="00854527"/>
    <w:rsid w:val="00854FF3"/>
    <w:rsid w:val="0085656B"/>
    <w:rsid w:val="008579F4"/>
    <w:rsid w:val="00857C20"/>
    <w:rsid w:val="00857CA9"/>
    <w:rsid w:val="00860412"/>
    <w:rsid w:val="00860959"/>
    <w:rsid w:val="00860AC4"/>
    <w:rsid w:val="0086133D"/>
    <w:rsid w:val="008623D3"/>
    <w:rsid w:val="00862F25"/>
    <w:rsid w:val="0086416F"/>
    <w:rsid w:val="008642E2"/>
    <w:rsid w:val="00865905"/>
    <w:rsid w:val="00866A41"/>
    <w:rsid w:val="00866FF0"/>
    <w:rsid w:val="0086723A"/>
    <w:rsid w:val="008677DC"/>
    <w:rsid w:val="00867BBB"/>
    <w:rsid w:val="008706E2"/>
    <w:rsid w:val="00870A82"/>
    <w:rsid w:val="00870A86"/>
    <w:rsid w:val="008713C0"/>
    <w:rsid w:val="00871575"/>
    <w:rsid w:val="00871984"/>
    <w:rsid w:val="00872328"/>
    <w:rsid w:val="008731B8"/>
    <w:rsid w:val="00873A09"/>
    <w:rsid w:val="00873BAE"/>
    <w:rsid w:val="00874E36"/>
    <w:rsid w:val="00875812"/>
    <w:rsid w:val="008760F7"/>
    <w:rsid w:val="00876177"/>
    <w:rsid w:val="0087681B"/>
    <w:rsid w:val="00876C13"/>
    <w:rsid w:val="008773F9"/>
    <w:rsid w:val="00877DEC"/>
    <w:rsid w:val="00880A4E"/>
    <w:rsid w:val="00880D96"/>
    <w:rsid w:val="00881A47"/>
    <w:rsid w:val="00882F5E"/>
    <w:rsid w:val="008836B5"/>
    <w:rsid w:val="008840D6"/>
    <w:rsid w:val="0088427E"/>
    <w:rsid w:val="0088462C"/>
    <w:rsid w:val="00884968"/>
    <w:rsid w:val="008858A3"/>
    <w:rsid w:val="00885CA9"/>
    <w:rsid w:val="008862F5"/>
    <w:rsid w:val="008864AC"/>
    <w:rsid w:val="00887955"/>
    <w:rsid w:val="00887B84"/>
    <w:rsid w:val="00890075"/>
    <w:rsid w:val="008900C7"/>
    <w:rsid w:val="008900EA"/>
    <w:rsid w:val="00890173"/>
    <w:rsid w:val="0089075B"/>
    <w:rsid w:val="008908B6"/>
    <w:rsid w:val="008909B1"/>
    <w:rsid w:val="00890F9F"/>
    <w:rsid w:val="00891931"/>
    <w:rsid w:val="008920B4"/>
    <w:rsid w:val="0089255C"/>
    <w:rsid w:val="00892597"/>
    <w:rsid w:val="00892FDB"/>
    <w:rsid w:val="00893956"/>
    <w:rsid w:val="00894015"/>
    <w:rsid w:val="008946E6"/>
    <w:rsid w:val="00894A9C"/>
    <w:rsid w:val="00894D17"/>
    <w:rsid w:val="0089513F"/>
    <w:rsid w:val="00895BB9"/>
    <w:rsid w:val="0089753D"/>
    <w:rsid w:val="008A1817"/>
    <w:rsid w:val="008A1EFA"/>
    <w:rsid w:val="008A249F"/>
    <w:rsid w:val="008A3280"/>
    <w:rsid w:val="008A32E0"/>
    <w:rsid w:val="008A362B"/>
    <w:rsid w:val="008A4038"/>
    <w:rsid w:val="008A40E3"/>
    <w:rsid w:val="008A40E4"/>
    <w:rsid w:val="008A4102"/>
    <w:rsid w:val="008A44CB"/>
    <w:rsid w:val="008A6229"/>
    <w:rsid w:val="008A6DBA"/>
    <w:rsid w:val="008A7AF2"/>
    <w:rsid w:val="008A7D1A"/>
    <w:rsid w:val="008B0161"/>
    <w:rsid w:val="008B0371"/>
    <w:rsid w:val="008B0679"/>
    <w:rsid w:val="008B137C"/>
    <w:rsid w:val="008B191E"/>
    <w:rsid w:val="008B1A8B"/>
    <w:rsid w:val="008B2536"/>
    <w:rsid w:val="008B3C30"/>
    <w:rsid w:val="008B4745"/>
    <w:rsid w:val="008B48B1"/>
    <w:rsid w:val="008B51BA"/>
    <w:rsid w:val="008B51EC"/>
    <w:rsid w:val="008B5BB0"/>
    <w:rsid w:val="008B60A3"/>
    <w:rsid w:val="008B65AD"/>
    <w:rsid w:val="008B7576"/>
    <w:rsid w:val="008B78FC"/>
    <w:rsid w:val="008C029E"/>
    <w:rsid w:val="008C0C2C"/>
    <w:rsid w:val="008C1673"/>
    <w:rsid w:val="008C1CC1"/>
    <w:rsid w:val="008C245D"/>
    <w:rsid w:val="008C2A67"/>
    <w:rsid w:val="008C3132"/>
    <w:rsid w:val="008C3742"/>
    <w:rsid w:val="008C37A3"/>
    <w:rsid w:val="008C4227"/>
    <w:rsid w:val="008C541B"/>
    <w:rsid w:val="008C5721"/>
    <w:rsid w:val="008C6487"/>
    <w:rsid w:val="008C66C3"/>
    <w:rsid w:val="008C6AEA"/>
    <w:rsid w:val="008C7182"/>
    <w:rsid w:val="008C7BC2"/>
    <w:rsid w:val="008D0578"/>
    <w:rsid w:val="008D098E"/>
    <w:rsid w:val="008D0DC6"/>
    <w:rsid w:val="008D125A"/>
    <w:rsid w:val="008D2D97"/>
    <w:rsid w:val="008D2EF0"/>
    <w:rsid w:val="008D4554"/>
    <w:rsid w:val="008D474B"/>
    <w:rsid w:val="008D4816"/>
    <w:rsid w:val="008D4BC6"/>
    <w:rsid w:val="008D5231"/>
    <w:rsid w:val="008D6012"/>
    <w:rsid w:val="008D6279"/>
    <w:rsid w:val="008D664F"/>
    <w:rsid w:val="008D6EBE"/>
    <w:rsid w:val="008D7028"/>
    <w:rsid w:val="008D71F9"/>
    <w:rsid w:val="008D78EF"/>
    <w:rsid w:val="008D79C7"/>
    <w:rsid w:val="008D79D3"/>
    <w:rsid w:val="008D7E28"/>
    <w:rsid w:val="008E01F7"/>
    <w:rsid w:val="008E16FC"/>
    <w:rsid w:val="008E2564"/>
    <w:rsid w:val="008E4517"/>
    <w:rsid w:val="008E4993"/>
    <w:rsid w:val="008E6BF3"/>
    <w:rsid w:val="008E6E2D"/>
    <w:rsid w:val="008E7244"/>
    <w:rsid w:val="008E72A6"/>
    <w:rsid w:val="008F170D"/>
    <w:rsid w:val="008F2DD8"/>
    <w:rsid w:val="008F320E"/>
    <w:rsid w:val="008F3E75"/>
    <w:rsid w:val="008F4147"/>
    <w:rsid w:val="008F4F51"/>
    <w:rsid w:val="008F5698"/>
    <w:rsid w:val="008F56A1"/>
    <w:rsid w:val="008F5E75"/>
    <w:rsid w:val="008F69DE"/>
    <w:rsid w:val="008F6D7F"/>
    <w:rsid w:val="008F6DC9"/>
    <w:rsid w:val="008F7058"/>
    <w:rsid w:val="008F7209"/>
    <w:rsid w:val="008F7DCE"/>
    <w:rsid w:val="008F7EE5"/>
    <w:rsid w:val="0090051A"/>
    <w:rsid w:val="009015C1"/>
    <w:rsid w:val="00901623"/>
    <w:rsid w:val="00901796"/>
    <w:rsid w:val="00901E86"/>
    <w:rsid w:val="009028F4"/>
    <w:rsid w:val="00902ED9"/>
    <w:rsid w:val="00903530"/>
    <w:rsid w:val="00903C70"/>
    <w:rsid w:val="00904201"/>
    <w:rsid w:val="009047A8"/>
    <w:rsid w:val="00904B90"/>
    <w:rsid w:val="009058CB"/>
    <w:rsid w:val="00905E21"/>
    <w:rsid w:val="00906023"/>
    <w:rsid w:val="00906EB2"/>
    <w:rsid w:val="00906F52"/>
    <w:rsid w:val="00907039"/>
    <w:rsid w:val="0091033C"/>
    <w:rsid w:val="0091051B"/>
    <w:rsid w:val="00910616"/>
    <w:rsid w:val="00910702"/>
    <w:rsid w:val="00910835"/>
    <w:rsid w:val="00910DCE"/>
    <w:rsid w:val="00911908"/>
    <w:rsid w:val="009129A3"/>
    <w:rsid w:val="00912EBD"/>
    <w:rsid w:val="009131CC"/>
    <w:rsid w:val="009136F7"/>
    <w:rsid w:val="00913EC0"/>
    <w:rsid w:val="00913FF9"/>
    <w:rsid w:val="00914347"/>
    <w:rsid w:val="00914617"/>
    <w:rsid w:val="00915263"/>
    <w:rsid w:val="00915845"/>
    <w:rsid w:val="009158CA"/>
    <w:rsid w:val="00915B62"/>
    <w:rsid w:val="00915CF4"/>
    <w:rsid w:val="009169AE"/>
    <w:rsid w:val="00916A98"/>
    <w:rsid w:val="00917F44"/>
    <w:rsid w:val="0092005F"/>
    <w:rsid w:val="009202BA"/>
    <w:rsid w:val="00920A90"/>
    <w:rsid w:val="00920F51"/>
    <w:rsid w:val="009213BE"/>
    <w:rsid w:val="00923E3C"/>
    <w:rsid w:val="009248DF"/>
    <w:rsid w:val="00924CE8"/>
    <w:rsid w:val="00926037"/>
    <w:rsid w:val="00926D60"/>
    <w:rsid w:val="00927291"/>
    <w:rsid w:val="00930883"/>
    <w:rsid w:val="00930B5C"/>
    <w:rsid w:val="009324DC"/>
    <w:rsid w:val="00933177"/>
    <w:rsid w:val="009334CD"/>
    <w:rsid w:val="009337E5"/>
    <w:rsid w:val="00934541"/>
    <w:rsid w:val="0093473F"/>
    <w:rsid w:val="00934826"/>
    <w:rsid w:val="00934AAE"/>
    <w:rsid w:val="00935976"/>
    <w:rsid w:val="00935B6A"/>
    <w:rsid w:val="009361EE"/>
    <w:rsid w:val="00936AF5"/>
    <w:rsid w:val="00936EB8"/>
    <w:rsid w:val="00936F0B"/>
    <w:rsid w:val="00936FFD"/>
    <w:rsid w:val="00937197"/>
    <w:rsid w:val="00937865"/>
    <w:rsid w:val="00937CA6"/>
    <w:rsid w:val="00937E29"/>
    <w:rsid w:val="00940BA0"/>
    <w:rsid w:val="00940C83"/>
    <w:rsid w:val="00940D7A"/>
    <w:rsid w:val="009415A4"/>
    <w:rsid w:val="0094173C"/>
    <w:rsid w:val="00941754"/>
    <w:rsid w:val="00941772"/>
    <w:rsid w:val="00942321"/>
    <w:rsid w:val="00942844"/>
    <w:rsid w:val="009438DE"/>
    <w:rsid w:val="0094413F"/>
    <w:rsid w:val="00944196"/>
    <w:rsid w:val="00944B33"/>
    <w:rsid w:val="00945058"/>
    <w:rsid w:val="0094510C"/>
    <w:rsid w:val="009457A4"/>
    <w:rsid w:val="00945CB9"/>
    <w:rsid w:val="00945CD0"/>
    <w:rsid w:val="00946487"/>
    <w:rsid w:val="0094653E"/>
    <w:rsid w:val="0094723C"/>
    <w:rsid w:val="00947962"/>
    <w:rsid w:val="0094796A"/>
    <w:rsid w:val="0095058C"/>
    <w:rsid w:val="009505D2"/>
    <w:rsid w:val="00950873"/>
    <w:rsid w:val="009511AB"/>
    <w:rsid w:val="0095167B"/>
    <w:rsid w:val="00951AD7"/>
    <w:rsid w:val="0095235D"/>
    <w:rsid w:val="00952A2D"/>
    <w:rsid w:val="00953621"/>
    <w:rsid w:val="009536B2"/>
    <w:rsid w:val="009537BC"/>
    <w:rsid w:val="00953CEA"/>
    <w:rsid w:val="009545F8"/>
    <w:rsid w:val="00954778"/>
    <w:rsid w:val="00955238"/>
    <w:rsid w:val="00955CCF"/>
    <w:rsid w:val="00957084"/>
    <w:rsid w:val="00957641"/>
    <w:rsid w:val="009600F8"/>
    <w:rsid w:val="00961E2C"/>
    <w:rsid w:val="00963919"/>
    <w:rsid w:val="00963C45"/>
    <w:rsid w:val="00963D62"/>
    <w:rsid w:val="00964F9C"/>
    <w:rsid w:val="0096555F"/>
    <w:rsid w:val="00967462"/>
    <w:rsid w:val="009677DA"/>
    <w:rsid w:val="00967BAC"/>
    <w:rsid w:val="00967BFC"/>
    <w:rsid w:val="009700C4"/>
    <w:rsid w:val="009708A5"/>
    <w:rsid w:val="0097112F"/>
    <w:rsid w:val="0097278E"/>
    <w:rsid w:val="009730EC"/>
    <w:rsid w:val="009743CD"/>
    <w:rsid w:val="00974E71"/>
    <w:rsid w:val="00974F48"/>
    <w:rsid w:val="009758D2"/>
    <w:rsid w:val="00975CCF"/>
    <w:rsid w:val="00975D23"/>
    <w:rsid w:val="00977327"/>
    <w:rsid w:val="009779DA"/>
    <w:rsid w:val="009806C3"/>
    <w:rsid w:val="0098162C"/>
    <w:rsid w:val="0098240A"/>
    <w:rsid w:val="00982FDD"/>
    <w:rsid w:val="0098447B"/>
    <w:rsid w:val="00984742"/>
    <w:rsid w:val="00984F10"/>
    <w:rsid w:val="00985723"/>
    <w:rsid w:val="00985B09"/>
    <w:rsid w:val="00985DDD"/>
    <w:rsid w:val="0098730A"/>
    <w:rsid w:val="00987363"/>
    <w:rsid w:val="009876C3"/>
    <w:rsid w:val="00987955"/>
    <w:rsid w:val="009904AB"/>
    <w:rsid w:val="009911D3"/>
    <w:rsid w:val="0099150E"/>
    <w:rsid w:val="00991880"/>
    <w:rsid w:val="00991949"/>
    <w:rsid w:val="00991F71"/>
    <w:rsid w:val="0099287C"/>
    <w:rsid w:val="009930B0"/>
    <w:rsid w:val="009933F5"/>
    <w:rsid w:val="009939CB"/>
    <w:rsid w:val="00994315"/>
    <w:rsid w:val="00994AF3"/>
    <w:rsid w:val="00994D90"/>
    <w:rsid w:val="009957B0"/>
    <w:rsid w:val="00997301"/>
    <w:rsid w:val="009A0C08"/>
    <w:rsid w:val="009A1468"/>
    <w:rsid w:val="009A1B72"/>
    <w:rsid w:val="009A2B59"/>
    <w:rsid w:val="009A2EA1"/>
    <w:rsid w:val="009A3BD3"/>
    <w:rsid w:val="009A45E7"/>
    <w:rsid w:val="009A4CFD"/>
    <w:rsid w:val="009A587F"/>
    <w:rsid w:val="009A5E9F"/>
    <w:rsid w:val="009A6756"/>
    <w:rsid w:val="009A6A37"/>
    <w:rsid w:val="009A77D8"/>
    <w:rsid w:val="009A7A28"/>
    <w:rsid w:val="009B0B18"/>
    <w:rsid w:val="009B1E6E"/>
    <w:rsid w:val="009B22A9"/>
    <w:rsid w:val="009B30FB"/>
    <w:rsid w:val="009B3429"/>
    <w:rsid w:val="009B37E1"/>
    <w:rsid w:val="009B391A"/>
    <w:rsid w:val="009B4F71"/>
    <w:rsid w:val="009B5008"/>
    <w:rsid w:val="009B608D"/>
    <w:rsid w:val="009B6131"/>
    <w:rsid w:val="009B7503"/>
    <w:rsid w:val="009B7532"/>
    <w:rsid w:val="009B7EE2"/>
    <w:rsid w:val="009C04C2"/>
    <w:rsid w:val="009C08C5"/>
    <w:rsid w:val="009C10D0"/>
    <w:rsid w:val="009C13E5"/>
    <w:rsid w:val="009C190E"/>
    <w:rsid w:val="009C2510"/>
    <w:rsid w:val="009C2D49"/>
    <w:rsid w:val="009C2EE0"/>
    <w:rsid w:val="009C2F42"/>
    <w:rsid w:val="009C312F"/>
    <w:rsid w:val="009C341A"/>
    <w:rsid w:val="009C380B"/>
    <w:rsid w:val="009C38D2"/>
    <w:rsid w:val="009C3CE7"/>
    <w:rsid w:val="009C564F"/>
    <w:rsid w:val="009C5718"/>
    <w:rsid w:val="009C57F6"/>
    <w:rsid w:val="009C6222"/>
    <w:rsid w:val="009C72BC"/>
    <w:rsid w:val="009C7C78"/>
    <w:rsid w:val="009C7F69"/>
    <w:rsid w:val="009D0119"/>
    <w:rsid w:val="009D0668"/>
    <w:rsid w:val="009D102B"/>
    <w:rsid w:val="009D10CE"/>
    <w:rsid w:val="009D13A3"/>
    <w:rsid w:val="009D2306"/>
    <w:rsid w:val="009D29C6"/>
    <w:rsid w:val="009D37B7"/>
    <w:rsid w:val="009D37C8"/>
    <w:rsid w:val="009D3DCF"/>
    <w:rsid w:val="009D44AA"/>
    <w:rsid w:val="009D4737"/>
    <w:rsid w:val="009D50D0"/>
    <w:rsid w:val="009D52C4"/>
    <w:rsid w:val="009D5FE2"/>
    <w:rsid w:val="009D65A1"/>
    <w:rsid w:val="009D65A7"/>
    <w:rsid w:val="009D66A3"/>
    <w:rsid w:val="009D7010"/>
    <w:rsid w:val="009D70F1"/>
    <w:rsid w:val="009D741A"/>
    <w:rsid w:val="009D74C8"/>
    <w:rsid w:val="009D7F9B"/>
    <w:rsid w:val="009E0063"/>
    <w:rsid w:val="009E00DB"/>
    <w:rsid w:val="009E10F5"/>
    <w:rsid w:val="009E13C3"/>
    <w:rsid w:val="009E1DC6"/>
    <w:rsid w:val="009E2215"/>
    <w:rsid w:val="009E24F5"/>
    <w:rsid w:val="009E27AA"/>
    <w:rsid w:val="009E2CF9"/>
    <w:rsid w:val="009E3323"/>
    <w:rsid w:val="009E391C"/>
    <w:rsid w:val="009E3F08"/>
    <w:rsid w:val="009E3F46"/>
    <w:rsid w:val="009E43DC"/>
    <w:rsid w:val="009E505C"/>
    <w:rsid w:val="009E560E"/>
    <w:rsid w:val="009E5859"/>
    <w:rsid w:val="009E5D58"/>
    <w:rsid w:val="009E6241"/>
    <w:rsid w:val="009E6445"/>
    <w:rsid w:val="009E6878"/>
    <w:rsid w:val="009E6FCD"/>
    <w:rsid w:val="009E7181"/>
    <w:rsid w:val="009E73E7"/>
    <w:rsid w:val="009F0C46"/>
    <w:rsid w:val="009F16BE"/>
    <w:rsid w:val="009F1923"/>
    <w:rsid w:val="009F1BFA"/>
    <w:rsid w:val="009F1E58"/>
    <w:rsid w:val="009F1F81"/>
    <w:rsid w:val="009F2B05"/>
    <w:rsid w:val="009F2B12"/>
    <w:rsid w:val="009F2B96"/>
    <w:rsid w:val="009F2D68"/>
    <w:rsid w:val="009F3266"/>
    <w:rsid w:val="009F3A67"/>
    <w:rsid w:val="009F3F66"/>
    <w:rsid w:val="009F4ABA"/>
    <w:rsid w:val="009F4DC3"/>
    <w:rsid w:val="009F666D"/>
    <w:rsid w:val="009F6F56"/>
    <w:rsid w:val="009F70A9"/>
    <w:rsid w:val="009F742F"/>
    <w:rsid w:val="009F7ACD"/>
    <w:rsid w:val="009F7CB2"/>
    <w:rsid w:val="00A01012"/>
    <w:rsid w:val="00A0134F"/>
    <w:rsid w:val="00A01483"/>
    <w:rsid w:val="00A01AE0"/>
    <w:rsid w:val="00A0236B"/>
    <w:rsid w:val="00A023C9"/>
    <w:rsid w:val="00A02AAE"/>
    <w:rsid w:val="00A03F2C"/>
    <w:rsid w:val="00A0438C"/>
    <w:rsid w:val="00A0440D"/>
    <w:rsid w:val="00A05664"/>
    <w:rsid w:val="00A0631A"/>
    <w:rsid w:val="00A065D7"/>
    <w:rsid w:val="00A06817"/>
    <w:rsid w:val="00A06AD0"/>
    <w:rsid w:val="00A074FF"/>
    <w:rsid w:val="00A07BFE"/>
    <w:rsid w:val="00A104A0"/>
    <w:rsid w:val="00A104E2"/>
    <w:rsid w:val="00A105BE"/>
    <w:rsid w:val="00A1075E"/>
    <w:rsid w:val="00A1090F"/>
    <w:rsid w:val="00A110F3"/>
    <w:rsid w:val="00A11747"/>
    <w:rsid w:val="00A11B24"/>
    <w:rsid w:val="00A11B8C"/>
    <w:rsid w:val="00A12197"/>
    <w:rsid w:val="00A12A51"/>
    <w:rsid w:val="00A1319F"/>
    <w:rsid w:val="00A13739"/>
    <w:rsid w:val="00A13F14"/>
    <w:rsid w:val="00A14274"/>
    <w:rsid w:val="00A14362"/>
    <w:rsid w:val="00A14B93"/>
    <w:rsid w:val="00A154ED"/>
    <w:rsid w:val="00A15D5C"/>
    <w:rsid w:val="00A15E5E"/>
    <w:rsid w:val="00A160ED"/>
    <w:rsid w:val="00A168C6"/>
    <w:rsid w:val="00A16E51"/>
    <w:rsid w:val="00A177DC"/>
    <w:rsid w:val="00A17BE0"/>
    <w:rsid w:val="00A17C88"/>
    <w:rsid w:val="00A17E84"/>
    <w:rsid w:val="00A17F29"/>
    <w:rsid w:val="00A206F5"/>
    <w:rsid w:val="00A208FF"/>
    <w:rsid w:val="00A20A28"/>
    <w:rsid w:val="00A20A6D"/>
    <w:rsid w:val="00A20BE6"/>
    <w:rsid w:val="00A214BC"/>
    <w:rsid w:val="00A2234D"/>
    <w:rsid w:val="00A22609"/>
    <w:rsid w:val="00A234B3"/>
    <w:rsid w:val="00A2395B"/>
    <w:rsid w:val="00A23B68"/>
    <w:rsid w:val="00A23C4F"/>
    <w:rsid w:val="00A24BA7"/>
    <w:rsid w:val="00A25351"/>
    <w:rsid w:val="00A26285"/>
    <w:rsid w:val="00A2688A"/>
    <w:rsid w:val="00A26B0B"/>
    <w:rsid w:val="00A26C7F"/>
    <w:rsid w:val="00A26F7B"/>
    <w:rsid w:val="00A273DC"/>
    <w:rsid w:val="00A31293"/>
    <w:rsid w:val="00A316B6"/>
    <w:rsid w:val="00A31E88"/>
    <w:rsid w:val="00A31EC9"/>
    <w:rsid w:val="00A3232F"/>
    <w:rsid w:val="00A32963"/>
    <w:rsid w:val="00A3301B"/>
    <w:rsid w:val="00A33994"/>
    <w:rsid w:val="00A33ED9"/>
    <w:rsid w:val="00A33FF2"/>
    <w:rsid w:val="00A34434"/>
    <w:rsid w:val="00A3449E"/>
    <w:rsid w:val="00A3541F"/>
    <w:rsid w:val="00A36939"/>
    <w:rsid w:val="00A36AAB"/>
    <w:rsid w:val="00A36AD5"/>
    <w:rsid w:val="00A371DB"/>
    <w:rsid w:val="00A378AB"/>
    <w:rsid w:val="00A37FE8"/>
    <w:rsid w:val="00A37FFC"/>
    <w:rsid w:val="00A40F3B"/>
    <w:rsid w:val="00A4224A"/>
    <w:rsid w:val="00A4241F"/>
    <w:rsid w:val="00A42EB7"/>
    <w:rsid w:val="00A441B7"/>
    <w:rsid w:val="00A45203"/>
    <w:rsid w:val="00A453B2"/>
    <w:rsid w:val="00A46D16"/>
    <w:rsid w:val="00A46F83"/>
    <w:rsid w:val="00A47C00"/>
    <w:rsid w:val="00A5031D"/>
    <w:rsid w:val="00A51005"/>
    <w:rsid w:val="00A5182A"/>
    <w:rsid w:val="00A51FAF"/>
    <w:rsid w:val="00A52B66"/>
    <w:rsid w:val="00A52C25"/>
    <w:rsid w:val="00A531C2"/>
    <w:rsid w:val="00A53923"/>
    <w:rsid w:val="00A544F3"/>
    <w:rsid w:val="00A54EFF"/>
    <w:rsid w:val="00A55CFD"/>
    <w:rsid w:val="00A60900"/>
    <w:rsid w:val="00A617B0"/>
    <w:rsid w:val="00A61E15"/>
    <w:rsid w:val="00A624B4"/>
    <w:rsid w:val="00A624EF"/>
    <w:rsid w:val="00A62E84"/>
    <w:rsid w:val="00A63AEA"/>
    <w:rsid w:val="00A63E61"/>
    <w:rsid w:val="00A63FAB"/>
    <w:rsid w:val="00A64522"/>
    <w:rsid w:val="00A64DF2"/>
    <w:rsid w:val="00A6584A"/>
    <w:rsid w:val="00A6755A"/>
    <w:rsid w:val="00A679BB"/>
    <w:rsid w:val="00A67F24"/>
    <w:rsid w:val="00A7001D"/>
    <w:rsid w:val="00A70B1B"/>
    <w:rsid w:val="00A70C72"/>
    <w:rsid w:val="00A70D37"/>
    <w:rsid w:val="00A70E4C"/>
    <w:rsid w:val="00A7272F"/>
    <w:rsid w:val="00A731A9"/>
    <w:rsid w:val="00A75792"/>
    <w:rsid w:val="00A75BAB"/>
    <w:rsid w:val="00A75DC4"/>
    <w:rsid w:val="00A76B81"/>
    <w:rsid w:val="00A77147"/>
    <w:rsid w:val="00A8117C"/>
    <w:rsid w:val="00A81456"/>
    <w:rsid w:val="00A814CB"/>
    <w:rsid w:val="00A817A2"/>
    <w:rsid w:val="00A82005"/>
    <w:rsid w:val="00A8219D"/>
    <w:rsid w:val="00A82407"/>
    <w:rsid w:val="00A82A32"/>
    <w:rsid w:val="00A83AF9"/>
    <w:rsid w:val="00A8408B"/>
    <w:rsid w:val="00A84289"/>
    <w:rsid w:val="00A845DE"/>
    <w:rsid w:val="00A84808"/>
    <w:rsid w:val="00A84B4E"/>
    <w:rsid w:val="00A84C23"/>
    <w:rsid w:val="00A85851"/>
    <w:rsid w:val="00A85895"/>
    <w:rsid w:val="00A85D17"/>
    <w:rsid w:val="00A864CF"/>
    <w:rsid w:val="00A872CE"/>
    <w:rsid w:val="00A873E2"/>
    <w:rsid w:val="00A8754F"/>
    <w:rsid w:val="00A87943"/>
    <w:rsid w:val="00A87BC7"/>
    <w:rsid w:val="00A90549"/>
    <w:rsid w:val="00A90AF1"/>
    <w:rsid w:val="00A90FBA"/>
    <w:rsid w:val="00A915E2"/>
    <w:rsid w:val="00A92CE2"/>
    <w:rsid w:val="00A93634"/>
    <w:rsid w:val="00A938D3"/>
    <w:rsid w:val="00A94162"/>
    <w:rsid w:val="00A9487F"/>
    <w:rsid w:val="00A94C42"/>
    <w:rsid w:val="00A956F6"/>
    <w:rsid w:val="00A96885"/>
    <w:rsid w:val="00A97026"/>
    <w:rsid w:val="00A970F8"/>
    <w:rsid w:val="00A9751E"/>
    <w:rsid w:val="00A97DCA"/>
    <w:rsid w:val="00AA0120"/>
    <w:rsid w:val="00AA03E4"/>
    <w:rsid w:val="00AA0465"/>
    <w:rsid w:val="00AA076F"/>
    <w:rsid w:val="00AA1C21"/>
    <w:rsid w:val="00AA249D"/>
    <w:rsid w:val="00AA2596"/>
    <w:rsid w:val="00AA29DA"/>
    <w:rsid w:val="00AA2FBA"/>
    <w:rsid w:val="00AA3012"/>
    <w:rsid w:val="00AA3A7C"/>
    <w:rsid w:val="00AA407C"/>
    <w:rsid w:val="00AA52FA"/>
    <w:rsid w:val="00AA534B"/>
    <w:rsid w:val="00AA672C"/>
    <w:rsid w:val="00AA6FAB"/>
    <w:rsid w:val="00AA73DF"/>
    <w:rsid w:val="00AA7A2B"/>
    <w:rsid w:val="00AA7D8D"/>
    <w:rsid w:val="00AA7F0D"/>
    <w:rsid w:val="00AB28BA"/>
    <w:rsid w:val="00AB297D"/>
    <w:rsid w:val="00AB2A65"/>
    <w:rsid w:val="00AB3085"/>
    <w:rsid w:val="00AB35F3"/>
    <w:rsid w:val="00AB3C72"/>
    <w:rsid w:val="00AB4B64"/>
    <w:rsid w:val="00AB590D"/>
    <w:rsid w:val="00AB6781"/>
    <w:rsid w:val="00AB6D2D"/>
    <w:rsid w:val="00AC011E"/>
    <w:rsid w:val="00AC01D0"/>
    <w:rsid w:val="00AC099B"/>
    <w:rsid w:val="00AC171A"/>
    <w:rsid w:val="00AC17D2"/>
    <w:rsid w:val="00AC18A7"/>
    <w:rsid w:val="00AC2A63"/>
    <w:rsid w:val="00AC2BEF"/>
    <w:rsid w:val="00AC2F73"/>
    <w:rsid w:val="00AC30D5"/>
    <w:rsid w:val="00AC39D6"/>
    <w:rsid w:val="00AC513F"/>
    <w:rsid w:val="00AC5232"/>
    <w:rsid w:val="00AC55CA"/>
    <w:rsid w:val="00AC5C9A"/>
    <w:rsid w:val="00AC5D41"/>
    <w:rsid w:val="00AC6A07"/>
    <w:rsid w:val="00AC6C8C"/>
    <w:rsid w:val="00AC6F98"/>
    <w:rsid w:val="00AC7FA1"/>
    <w:rsid w:val="00AD0463"/>
    <w:rsid w:val="00AD0EA8"/>
    <w:rsid w:val="00AD1626"/>
    <w:rsid w:val="00AD1CDD"/>
    <w:rsid w:val="00AD2414"/>
    <w:rsid w:val="00AD24E0"/>
    <w:rsid w:val="00AD301D"/>
    <w:rsid w:val="00AD372F"/>
    <w:rsid w:val="00AD6F27"/>
    <w:rsid w:val="00AD7136"/>
    <w:rsid w:val="00AD7381"/>
    <w:rsid w:val="00AE0F02"/>
    <w:rsid w:val="00AE1514"/>
    <w:rsid w:val="00AE15BF"/>
    <w:rsid w:val="00AE1721"/>
    <w:rsid w:val="00AE1B0D"/>
    <w:rsid w:val="00AE2753"/>
    <w:rsid w:val="00AE3855"/>
    <w:rsid w:val="00AE45FE"/>
    <w:rsid w:val="00AE47B2"/>
    <w:rsid w:val="00AE47EA"/>
    <w:rsid w:val="00AE497E"/>
    <w:rsid w:val="00AE4B37"/>
    <w:rsid w:val="00AE4FD5"/>
    <w:rsid w:val="00AE54AD"/>
    <w:rsid w:val="00AE55E5"/>
    <w:rsid w:val="00AE5E72"/>
    <w:rsid w:val="00AE63F3"/>
    <w:rsid w:val="00AE6E33"/>
    <w:rsid w:val="00AE7787"/>
    <w:rsid w:val="00AE7883"/>
    <w:rsid w:val="00AF11A7"/>
    <w:rsid w:val="00AF1847"/>
    <w:rsid w:val="00AF206D"/>
    <w:rsid w:val="00AF25E3"/>
    <w:rsid w:val="00AF29FB"/>
    <w:rsid w:val="00AF323E"/>
    <w:rsid w:val="00AF40FF"/>
    <w:rsid w:val="00AF4154"/>
    <w:rsid w:val="00AF42DB"/>
    <w:rsid w:val="00AF445D"/>
    <w:rsid w:val="00AF5338"/>
    <w:rsid w:val="00AF53E0"/>
    <w:rsid w:val="00AF5865"/>
    <w:rsid w:val="00AF6045"/>
    <w:rsid w:val="00AF6802"/>
    <w:rsid w:val="00AF6952"/>
    <w:rsid w:val="00AF6E2C"/>
    <w:rsid w:val="00AF7B0D"/>
    <w:rsid w:val="00AF7B74"/>
    <w:rsid w:val="00B008D9"/>
    <w:rsid w:val="00B00B08"/>
    <w:rsid w:val="00B01016"/>
    <w:rsid w:val="00B01AD8"/>
    <w:rsid w:val="00B01C6B"/>
    <w:rsid w:val="00B02941"/>
    <w:rsid w:val="00B03637"/>
    <w:rsid w:val="00B03C80"/>
    <w:rsid w:val="00B03F40"/>
    <w:rsid w:val="00B040D5"/>
    <w:rsid w:val="00B041E2"/>
    <w:rsid w:val="00B042B0"/>
    <w:rsid w:val="00B04C34"/>
    <w:rsid w:val="00B04E80"/>
    <w:rsid w:val="00B05D07"/>
    <w:rsid w:val="00B06291"/>
    <w:rsid w:val="00B064EF"/>
    <w:rsid w:val="00B0658A"/>
    <w:rsid w:val="00B07760"/>
    <w:rsid w:val="00B11831"/>
    <w:rsid w:val="00B11D67"/>
    <w:rsid w:val="00B1243D"/>
    <w:rsid w:val="00B1283D"/>
    <w:rsid w:val="00B12EFE"/>
    <w:rsid w:val="00B12FA6"/>
    <w:rsid w:val="00B13F30"/>
    <w:rsid w:val="00B14DBC"/>
    <w:rsid w:val="00B15295"/>
    <w:rsid w:val="00B15833"/>
    <w:rsid w:val="00B169FD"/>
    <w:rsid w:val="00B170F6"/>
    <w:rsid w:val="00B17AFC"/>
    <w:rsid w:val="00B17CD6"/>
    <w:rsid w:val="00B2247E"/>
    <w:rsid w:val="00B22B68"/>
    <w:rsid w:val="00B22C5C"/>
    <w:rsid w:val="00B23693"/>
    <w:rsid w:val="00B236EB"/>
    <w:rsid w:val="00B238FA"/>
    <w:rsid w:val="00B247A1"/>
    <w:rsid w:val="00B24B42"/>
    <w:rsid w:val="00B25416"/>
    <w:rsid w:val="00B25710"/>
    <w:rsid w:val="00B25F09"/>
    <w:rsid w:val="00B2615E"/>
    <w:rsid w:val="00B2660A"/>
    <w:rsid w:val="00B267AD"/>
    <w:rsid w:val="00B27285"/>
    <w:rsid w:val="00B2795C"/>
    <w:rsid w:val="00B30134"/>
    <w:rsid w:val="00B305EB"/>
    <w:rsid w:val="00B30A0E"/>
    <w:rsid w:val="00B30B74"/>
    <w:rsid w:val="00B31524"/>
    <w:rsid w:val="00B31FCF"/>
    <w:rsid w:val="00B32B9A"/>
    <w:rsid w:val="00B347D0"/>
    <w:rsid w:val="00B35396"/>
    <w:rsid w:val="00B35D8D"/>
    <w:rsid w:val="00B37EC7"/>
    <w:rsid w:val="00B400D4"/>
    <w:rsid w:val="00B4335C"/>
    <w:rsid w:val="00B435FA"/>
    <w:rsid w:val="00B43CC5"/>
    <w:rsid w:val="00B44138"/>
    <w:rsid w:val="00B448C1"/>
    <w:rsid w:val="00B45045"/>
    <w:rsid w:val="00B450B6"/>
    <w:rsid w:val="00B455C2"/>
    <w:rsid w:val="00B45EF3"/>
    <w:rsid w:val="00B462FE"/>
    <w:rsid w:val="00B47F94"/>
    <w:rsid w:val="00B52A2B"/>
    <w:rsid w:val="00B52CD6"/>
    <w:rsid w:val="00B53737"/>
    <w:rsid w:val="00B53841"/>
    <w:rsid w:val="00B53F73"/>
    <w:rsid w:val="00B54949"/>
    <w:rsid w:val="00B54E7D"/>
    <w:rsid w:val="00B54F9F"/>
    <w:rsid w:val="00B5523C"/>
    <w:rsid w:val="00B554DA"/>
    <w:rsid w:val="00B56695"/>
    <w:rsid w:val="00B56F3E"/>
    <w:rsid w:val="00B56F63"/>
    <w:rsid w:val="00B57A9B"/>
    <w:rsid w:val="00B57D25"/>
    <w:rsid w:val="00B608E4"/>
    <w:rsid w:val="00B615CE"/>
    <w:rsid w:val="00B61954"/>
    <w:rsid w:val="00B62347"/>
    <w:rsid w:val="00B628A5"/>
    <w:rsid w:val="00B62AD4"/>
    <w:rsid w:val="00B638D4"/>
    <w:rsid w:val="00B65678"/>
    <w:rsid w:val="00B66EEC"/>
    <w:rsid w:val="00B67356"/>
    <w:rsid w:val="00B67A8C"/>
    <w:rsid w:val="00B708A1"/>
    <w:rsid w:val="00B70E29"/>
    <w:rsid w:val="00B73017"/>
    <w:rsid w:val="00B73E0C"/>
    <w:rsid w:val="00B74085"/>
    <w:rsid w:val="00B7513F"/>
    <w:rsid w:val="00B756F3"/>
    <w:rsid w:val="00B75951"/>
    <w:rsid w:val="00B75C22"/>
    <w:rsid w:val="00B75DBB"/>
    <w:rsid w:val="00B75F1F"/>
    <w:rsid w:val="00B76C19"/>
    <w:rsid w:val="00B76CEE"/>
    <w:rsid w:val="00B7705E"/>
    <w:rsid w:val="00B7710A"/>
    <w:rsid w:val="00B77177"/>
    <w:rsid w:val="00B77424"/>
    <w:rsid w:val="00B77607"/>
    <w:rsid w:val="00B800F3"/>
    <w:rsid w:val="00B804FC"/>
    <w:rsid w:val="00B80857"/>
    <w:rsid w:val="00B80A24"/>
    <w:rsid w:val="00B80A35"/>
    <w:rsid w:val="00B8277D"/>
    <w:rsid w:val="00B83287"/>
    <w:rsid w:val="00B833A4"/>
    <w:rsid w:val="00B84599"/>
    <w:rsid w:val="00B848C9"/>
    <w:rsid w:val="00B8502D"/>
    <w:rsid w:val="00B863E1"/>
    <w:rsid w:val="00B86E19"/>
    <w:rsid w:val="00B86FA4"/>
    <w:rsid w:val="00B90308"/>
    <w:rsid w:val="00B9033E"/>
    <w:rsid w:val="00B911A1"/>
    <w:rsid w:val="00B914BD"/>
    <w:rsid w:val="00B917D9"/>
    <w:rsid w:val="00B91C68"/>
    <w:rsid w:val="00B9206A"/>
    <w:rsid w:val="00B9280E"/>
    <w:rsid w:val="00B9306F"/>
    <w:rsid w:val="00B93732"/>
    <w:rsid w:val="00B93C3E"/>
    <w:rsid w:val="00B93F51"/>
    <w:rsid w:val="00B9423C"/>
    <w:rsid w:val="00B94331"/>
    <w:rsid w:val="00B94845"/>
    <w:rsid w:val="00B9641C"/>
    <w:rsid w:val="00B9779E"/>
    <w:rsid w:val="00B97CF1"/>
    <w:rsid w:val="00BA0145"/>
    <w:rsid w:val="00BA03A7"/>
    <w:rsid w:val="00BA083B"/>
    <w:rsid w:val="00BA0B3E"/>
    <w:rsid w:val="00BA0D75"/>
    <w:rsid w:val="00BA18DF"/>
    <w:rsid w:val="00BA1972"/>
    <w:rsid w:val="00BA2D7A"/>
    <w:rsid w:val="00BA3499"/>
    <w:rsid w:val="00BA44AE"/>
    <w:rsid w:val="00BA4DBA"/>
    <w:rsid w:val="00BA5899"/>
    <w:rsid w:val="00BA58D7"/>
    <w:rsid w:val="00BA58E7"/>
    <w:rsid w:val="00BA5B16"/>
    <w:rsid w:val="00BA5D42"/>
    <w:rsid w:val="00BA6A3F"/>
    <w:rsid w:val="00BA7E70"/>
    <w:rsid w:val="00BA7EF9"/>
    <w:rsid w:val="00BB20F4"/>
    <w:rsid w:val="00BB2B1B"/>
    <w:rsid w:val="00BB2FC3"/>
    <w:rsid w:val="00BB353F"/>
    <w:rsid w:val="00BB39E2"/>
    <w:rsid w:val="00BB42F3"/>
    <w:rsid w:val="00BB4FA3"/>
    <w:rsid w:val="00BB526D"/>
    <w:rsid w:val="00BB5411"/>
    <w:rsid w:val="00BB542B"/>
    <w:rsid w:val="00BB5FA8"/>
    <w:rsid w:val="00BB6221"/>
    <w:rsid w:val="00BB62F3"/>
    <w:rsid w:val="00BB6F95"/>
    <w:rsid w:val="00BB7218"/>
    <w:rsid w:val="00BB75D6"/>
    <w:rsid w:val="00BB7F93"/>
    <w:rsid w:val="00BC1001"/>
    <w:rsid w:val="00BC14C9"/>
    <w:rsid w:val="00BC15AF"/>
    <w:rsid w:val="00BC1CD1"/>
    <w:rsid w:val="00BC2D7D"/>
    <w:rsid w:val="00BC31A1"/>
    <w:rsid w:val="00BC35DC"/>
    <w:rsid w:val="00BC37CA"/>
    <w:rsid w:val="00BC47BD"/>
    <w:rsid w:val="00BC4E28"/>
    <w:rsid w:val="00BC4F7C"/>
    <w:rsid w:val="00BC51E1"/>
    <w:rsid w:val="00BC550E"/>
    <w:rsid w:val="00BC5D02"/>
    <w:rsid w:val="00BC704C"/>
    <w:rsid w:val="00BC76DE"/>
    <w:rsid w:val="00BC7921"/>
    <w:rsid w:val="00BC7AEB"/>
    <w:rsid w:val="00BD0926"/>
    <w:rsid w:val="00BD0DD6"/>
    <w:rsid w:val="00BD109D"/>
    <w:rsid w:val="00BD1FE3"/>
    <w:rsid w:val="00BD3395"/>
    <w:rsid w:val="00BD45A9"/>
    <w:rsid w:val="00BD4E94"/>
    <w:rsid w:val="00BD527C"/>
    <w:rsid w:val="00BD6191"/>
    <w:rsid w:val="00BD674C"/>
    <w:rsid w:val="00BD6772"/>
    <w:rsid w:val="00BD7594"/>
    <w:rsid w:val="00BD7681"/>
    <w:rsid w:val="00BE14F8"/>
    <w:rsid w:val="00BE1504"/>
    <w:rsid w:val="00BE150A"/>
    <w:rsid w:val="00BE1640"/>
    <w:rsid w:val="00BE1BBE"/>
    <w:rsid w:val="00BE273C"/>
    <w:rsid w:val="00BE2F69"/>
    <w:rsid w:val="00BE3C6D"/>
    <w:rsid w:val="00BE3E22"/>
    <w:rsid w:val="00BE423E"/>
    <w:rsid w:val="00BE434F"/>
    <w:rsid w:val="00BE47E4"/>
    <w:rsid w:val="00BE5475"/>
    <w:rsid w:val="00BE553B"/>
    <w:rsid w:val="00BE705A"/>
    <w:rsid w:val="00BE7330"/>
    <w:rsid w:val="00BF0822"/>
    <w:rsid w:val="00BF0D84"/>
    <w:rsid w:val="00BF10AD"/>
    <w:rsid w:val="00BF1563"/>
    <w:rsid w:val="00BF1790"/>
    <w:rsid w:val="00BF1C00"/>
    <w:rsid w:val="00BF311D"/>
    <w:rsid w:val="00BF4198"/>
    <w:rsid w:val="00BF41E3"/>
    <w:rsid w:val="00BF4452"/>
    <w:rsid w:val="00BF463B"/>
    <w:rsid w:val="00BF4765"/>
    <w:rsid w:val="00BF4F79"/>
    <w:rsid w:val="00BF550A"/>
    <w:rsid w:val="00BF57A1"/>
    <w:rsid w:val="00BF61CF"/>
    <w:rsid w:val="00BF681A"/>
    <w:rsid w:val="00BF6A9F"/>
    <w:rsid w:val="00BF6D29"/>
    <w:rsid w:val="00BF6E86"/>
    <w:rsid w:val="00BF6F7D"/>
    <w:rsid w:val="00BF78E3"/>
    <w:rsid w:val="00BF7A8A"/>
    <w:rsid w:val="00C000DE"/>
    <w:rsid w:val="00C01DD5"/>
    <w:rsid w:val="00C0223F"/>
    <w:rsid w:val="00C03828"/>
    <w:rsid w:val="00C03D45"/>
    <w:rsid w:val="00C0407E"/>
    <w:rsid w:val="00C04116"/>
    <w:rsid w:val="00C049DB"/>
    <w:rsid w:val="00C05548"/>
    <w:rsid w:val="00C060C4"/>
    <w:rsid w:val="00C0612B"/>
    <w:rsid w:val="00C064C9"/>
    <w:rsid w:val="00C0759E"/>
    <w:rsid w:val="00C0783D"/>
    <w:rsid w:val="00C07E87"/>
    <w:rsid w:val="00C1037B"/>
    <w:rsid w:val="00C103C3"/>
    <w:rsid w:val="00C103F1"/>
    <w:rsid w:val="00C10D72"/>
    <w:rsid w:val="00C10E35"/>
    <w:rsid w:val="00C12F1C"/>
    <w:rsid w:val="00C1395B"/>
    <w:rsid w:val="00C140B7"/>
    <w:rsid w:val="00C145C7"/>
    <w:rsid w:val="00C145E9"/>
    <w:rsid w:val="00C14F10"/>
    <w:rsid w:val="00C156A6"/>
    <w:rsid w:val="00C15E30"/>
    <w:rsid w:val="00C16991"/>
    <w:rsid w:val="00C17A92"/>
    <w:rsid w:val="00C2033E"/>
    <w:rsid w:val="00C20BA6"/>
    <w:rsid w:val="00C20DA5"/>
    <w:rsid w:val="00C2111B"/>
    <w:rsid w:val="00C21209"/>
    <w:rsid w:val="00C2174E"/>
    <w:rsid w:val="00C2193B"/>
    <w:rsid w:val="00C236F7"/>
    <w:rsid w:val="00C237EC"/>
    <w:rsid w:val="00C23D1E"/>
    <w:rsid w:val="00C241B6"/>
    <w:rsid w:val="00C24C0A"/>
    <w:rsid w:val="00C24D42"/>
    <w:rsid w:val="00C252E8"/>
    <w:rsid w:val="00C25BD9"/>
    <w:rsid w:val="00C25FC4"/>
    <w:rsid w:val="00C26230"/>
    <w:rsid w:val="00C268F9"/>
    <w:rsid w:val="00C269CB"/>
    <w:rsid w:val="00C26A8F"/>
    <w:rsid w:val="00C279BC"/>
    <w:rsid w:val="00C30404"/>
    <w:rsid w:val="00C305C7"/>
    <w:rsid w:val="00C30B02"/>
    <w:rsid w:val="00C315E9"/>
    <w:rsid w:val="00C31A1A"/>
    <w:rsid w:val="00C32F21"/>
    <w:rsid w:val="00C330F1"/>
    <w:rsid w:val="00C359C1"/>
    <w:rsid w:val="00C35A37"/>
    <w:rsid w:val="00C3665C"/>
    <w:rsid w:val="00C37007"/>
    <w:rsid w:val="00C40356"/>
    <w:rsid w:val="00C4104F"/>
    <w:rsid w:val="00C428A0"/>
    <w:rsid w:val="00C42EAE"/>
    <w:rsid w:val="00C438BC"/>
    <w:rsid w:val="00C4393E"/>
    <w:rsid w:val="00C43AF5"/>
    <w:rsid w:val="00C448CC"/>
    <w:rsid w:val="00C4497C"/>
    <w:rsid w:val="00C450D9"/>
    <w:rsid w:val="00C45E80"/>
    <w:rsid w:val="00C46503"/>
    <w:rsid w:val="00C46928"/>
    <w:rsid w:val="00C46A83"/>
    <w:rsid w:val="00C477D6"/>
    <w:rsid w:val="00C500D7"/>
    <w:rsid w:val="00C5117B"/>
    <w:rsid w:val="00C5142F"/>
    <w:rsid w:val="00C51813"/>
    <w:rsid w:val="00C51995"/>
    <w:rsid w:val="00C51DAA"/>
    <w:rsid w:val="00C52432"/>
    <w:rsid w:val="00C526F9"/>
    <w:rsid w:val="00C5371F"/>
    <w:rsid w:val="00C5514C"/>
    <w:rsid w:val="00C557CE"/>
    <w:rsid w:val="00C56679"/>
    <w:rsid w:val="00C57F89"/>
    <w:rsid w:val="00C60877"/>
    <w:rsid w:val="00C60F4D"/>
    <w:rsid w:val="00C610D5"/>
    <w:rsid w:val="00C61682"/>
    <w:rsid w:val="00C61788"/>
    <w:rsid w:val="00C62507"/>
    <w:rsid w:val="00C6385C"/>
    <w:rsid w:val="00C64327"/>
    <w:rsid w:val="00C649E3"/>
    <w:rsid w:val="00C64AE6"/>
    <w:rsid w:val="00C65264"/>
    <w:rsid w:val="00C65A39"/>
    <w:rsid w:val="00C65AB5"/>
    <w:rsid w:val="00C6603B"/>
    <w:rsid w:val="00C66168"/>
    <w:rsid w:val="00C662AE"/>
    <w:rsid w:val="00C66BE3"/>
    <w:rsid w:val="00C67A84"/>
    <w:rsid w:val="00C67E01"/>
    <w:rsid w:val="00C67F48"/>
    <w:rsid w:val="00C67F90"/>
    <w:rsid w:val="00C7021E"/>
    <w:rsid w:val="00C70257"/>
    <w:rsid w:val="00C70FD6"/>
    <w:rsid w:val="00C71266"/>
    <w:rsid w:val="00C71BD4"/>
    <w:rsid w:val="00C71C94"/>
    <w:rsid w:val="00C72A10"/>
    <w:rsid w:val="00C72A80"/>
    <w:rsid w:val="00C72E31"/>
    <w:rsid w:val="00C7303B"/>
    <w:rsid w:val="00C74ECA"/>
    <w:rsid w:val="00C75C75"/>
    <w:rsid w:val="00C7654E"/>
    <w:rsid w:val="00C76E90"/>
    <w:rsid w:val="00C76FAD"/>
    <w:rsid w:val="00C77BFD"/>
    <w:rsid w:val="00C813B3"/>
    <w:rsid w:val="00C81888"/>
    <w:rsid w:val="00C819C1"/>
    <w:rsid w:val="00C81A25"/>
    <w:rsid w:val="00C81EBE"/>
    <w:rsid w:val="00C832B2"/>
    <w:rsid w:val="00C832C0"/>
    <w:rsid w:val="00C83365"/>
    <w:rsid w:val="00C83C03"/>
    <w:rsid w:val="00C86CB5"/>
    <w:rsid w:val="00C87414"/>
    <w:rsid w:val="00C876B9"/>
    <w:rsid w:val="00C8781B"/>
    <w:rsid w:val="00C904AE"/>
    <w:rsid w:val="00C911E8"/>
    <w:rsid w:val="00C92C73"/>
    <w:rsid w:val="00C931A2"/>
    <w:rsid w:val="00C93757"/>
    <w:rsid w:val="00C93A7E"/>
    <w:rsid w:val="00C93B01"/>
    <w:rsid w:val="00C93F88"/>
    <w:rsid w:val="00C94777"/>
    <w:rsid w:val="00C94F01"/>
    <w:rsid w:val="00C94F93"/>
    <w:rsid w:val="00C965F4"/>
    <w:rsid w:val="00C96717"/>
    <w:rsid w:val="00C97526"/>
    <w:rsid w:val="00CA0444"/>
    <w:rsid w:val="00CA103C"/>
    <w:rsid w:val="00CA1533"/>
    <w:rsid w:val="00CA1B16"/>
    <w:rsid w:val="00CA286F"/>
    <w:rsid w:val="00CA28B3"/>
    <w:rsid w:val="00CA2968"/>
    <w:rsid w:val="00CA2CAC"/>
    <w:rsid w:val="00CA355B"/>
    <w:rsid w:val="00CA3F4E"/>
    <w:rsid w:val="00CA59AD"/>
    <w:rsid w:val="00CA66F2"/>
    <w:rsid w:val="00CA6767"/>
    <w:rsid w:val="00CA691B"/>
    <w:rsid w:val="00CA6F3C"/>
    <w:rsid w:val="00CB0B5E"/>
    <w:rsid w:val="00CB166E"/>
    <w:rsid w:val="00CB1697"/>
    <w:rsid w:val="00CB2B87"/>
    <w:rsid w:val="00CB2DCA"/>
    <w:rsid w:val="00CB3094"/>
    <w:rsid w:val="00CB3197"/>
    <w:rsid w:val="00CB43AB"/>
    <w:rsid w:val="00CB4E98"/>
    <w:rsid w:val="00CB686D"/>
    <w:rsid w:val="00CB6FC6"/>
    <w:rsid w:val="00CB7455"/>
    <w:rsid w:val="00CB7716"/>
    <w:rsid w:val="00CB7C3A"/>
    <w:rsid w:val="00CC0BF8"/>
    <w:rsid w:val="00CC0F8D"/>
    <w:rsid w:val="00CC1373"/>
    <w:rsid w:val="00CC13D2"/>
    <w:rsid w:val="00CC1875"/>
    <w:rsid w:val="00CC2907"/>
    <w:rsid w:val="00CC29EB"/>
    <w:rsid w:val="00CC2D3B"/>
    <w:rsid w:val="00CC3C2E"/>
    <w:rsid w:val="00CC484F"/>
    <w:rsid w:val="00CC5294"/>
    <w:rsid w:val="00CC5450"/>
    <w:rsid w:val="00CC6995"/>
    <w:rsid w:val="00CC7F00"/>
    <w:rsid w:val="00CD0E92"/>
    <w:rsid w:val="00CD110C"/>
    <w:rsid w:val="00CD18C4"/>
    <w:rsid w:val="00CD203B"/>
    <w:rsid w:val="00CD23D8"/>
    <w:rsid w:val="00CD2954"/>
    <w:rsid w:val="00CD2C0F"/>
    <w:rsid w:val="00CD2D16"/>
    <w:rsid w:val="00CD2EBF"/>
    <w:rsid w:val="00CD2FCD"/>
    <w:rsid w:val="00CD2FF6"/>
    <w:rsid w:val="00CD36A8"/>
    <w:rsid w:val="00CD4604"/>
    <w:rsid w:val="00CD4BA5"/>
    <w:rsid w:val="00CD4D5A"/>
    <w:rsid w:val="00CD5227"/>
    <w:rsid w:val="00CD61E7"/>
    <w:rsid w:val="00CD6360"/>
    <w:rsid w:val="00CD6383"/>
    <w:rsid w:val="00CD7079"/>
    <w:rsid w:val="00CD7145"/>
    <w:rsid w:val="00CD7173"/>
    <w:rsid w:val="00CD7375"/>
    <w:rsid w:val="00CE0502"/>
    <w:rsid w:val="00CE051E"/>
    <w:rsid w:val="00CE08A7"/>
    <w:rsid w:val="00CE0AE5"/>
    <w:rsid w:val="00CE0DEE"/>
    <w:rsid w:val="00CE1389"/>
    <w:rsid w:val="00CE1496"/>
    <w:rsid w:val="00CE29A2"/>
    <w:rsid w:val="00CE2E0B"/>
    <w:rsid w:val="00CE2E15"/>
    <w:rsid w:val="00CE2E18"/>
    <w:rsid w:val="00CE2FB2"/>
    <w:rsid w:val="00CE3786"/>
    <w:rsid w:val="00CE3949"/>
    <w:rsid w:val="00CE4370"/>
    <w:rsid w:val="00CE46AB"/>
    <w:rsid w:val="00CE48FB"/>
    <w:rsid w:val="00CE55A8"/>
    <w:rsid w:val="00CE565A"/>
    <w:rsid w:val="00CE584F"/>
    <w:rsid w:val="00CE5866"/>
    <w:rsid w:val="00CE6307"/>
    <w:rsid w:val="00CE6CE0"/>
    <w:rsid w:val="00CE76DC"/>
    <w:rsid w:val="00CE7EEE"/>
    <w:rsid w:val="00CE7FFD"/>
    <w:rsid w:val="00CF0575"/>
    <w:rsid w:val="00CF11BD"/>
    <w:rsid w:val="00CF19E3"/>
    <w:rsid w:val="00CF2836"/>
    <w:rsid w:val="00CF2BCF"/>
    <w:rsid w:val="00CF2DC3"/>
    <w:rsid w:val="00CF37BE"/>
    <w:rsid w:val="00CF415F"/>
    <w:rsid w:val="00CF4A37"/>
    <w:rsid w:val="00CF4EC8"/>
    <w:rsid w:val="00CF54C6"/>
    <w:rsid w:val="00CF5527"/>
    <w:rsid w:val="00CF56CC"/>
    <w:rsid w:val="00CF62D0"/>
    <w:rsid w:val="00CF6ACB"/>
    <w:rsid w:val="00CF720C"/>
    <w:rsid w:val="00CF7460"/>
    <w:rsid w:val="00CF7E9D"/>
    <w:rsid w:val="00D0030B"/>
    <w:rsid w:val="00D012D3"/>
    <w:rsid w:val="00D012EE"/>
    <w:rsid w:val="00D01EDB"/>
    <w:rsid w:val="00D02A25"/>
    <w:rsid w:val="00D02AB8"/>
    <w:rsid w:val="00D02B6E"/>
    <w:rsid w:val="00D03149"/>
    <w:rsid w:val="00D0372B"/>
    <w:rsid w:val="00D038C6"/>
    <w:rsid w:val="00D042B9"/>
    <w:rsid w:val="00D044D2"/>
    <w:rsid w:val="00D0471E"/>
    <w:rsid w:val="00D048FF"/>
    <w:rsid w:val="00D04FBD"/>
    <w:rsid w:val="00D04FFB"/>
    <w:rsid w:val="00D052B0"/>
    <w:rsid w:val="00D05B78"/>
    <w:rsid w:val="00D060E5"/>
    <w:rsid w:val="00D07A64"/>
    <w:rsid w:val="00D07EAA"/>
    <w:rsid w:val="00D07FEC"/>
    <w:rsid w:val="00D1000D"/>
    <w:rsid w:val="00D1270D"/>
    <w:rsid w:val="00D14266"/>
    <w:rsid w:val="00D14303"/>
    <w:rsid w:val="00D15301"/>
    <w:rsid w:val="00D1601D"/>
    <w:rsid w:val="00D165A7"/>
    <w:rsid w:val="00D17E76"/>
    <w:rsid w:val="00D201FF"/>
    <w:rsid w:val="00D211DF"/>
    <w:rsid w:val="00D21464"/>
    <w:rsid w:val="00D21691"/>
    <w:rsid w:val="00D2180E"/>
    <w:rsid w:val="00D231E2"/>
    <w:rsid w:val="00D23A99"/>
    <w:rsid w:val="00D2479D"/>
    <w:rsid w:val="00D24F9A"/>
    <w:rsid w:val="00D255E7"/>
    <w:rsid w:val="00D25AF0"/>
    <w:rsid w:val="00D2640D"/>
    <w:rsid w:val="00D264DB"/>
    <w:rsid w:val="00D308A7"/>
    <w:rsid w:val="00D30F84"/>
    <w:rsid w:val="00D31528"/>
    <w:rsid w:val="00D32384"/>
    <w:rsid w:val="00D328FD"/>
    <w:rsid w:val="00D33041"/>
    <w:rsid w:val="00D34530"/>
    <w:rsid w:val="00D35330"/>
    <w:rsid w:val="00D35ACB"/>
    <w:rsid w:val="00D35F40"/>
    <w:rsid w:val="00D362FB"/>
    <w:rsid w:val="00D369B9"/>
    <w:rsid w:val="00D36B5E"/>
    <w:rsid w:val="00D36EA3"/>
    <w:rsid w:val="00D373FA"/>
    <w:rsid w:val="00D37653"/>
    <w:rsid w:val="00D37F48"/>
    <w:rsid w:val="00D40094"/>
    <w:rsid w:val="00D403A9"/>
    <w:rsid w:val="00D41889"/>
    <w:rsid w:val="00D41F66"/>
    <w:rsid w:val="00D427AE"/>
    <w:rsid w:val="00D42803"/>
    <w:rsid w:val="00D430DC"/>
    <w:rsid w:val="00D44A88"/>
    <w:rsid w:val="00D45041"/>
    <w:rsid w:val="00D45A94"/>
    <w:rsid w:val="00D46159"/>
    <w:rsid w:val="00D4616E"/>
    <w:rsid w:val="00D466E2"/>
    <w:rsid w:val="00D47B62"/>
    <w:rsid w:val="00D47E13"/>
    <w:rsid w:val="00D50A03"/>
    <w:rsid w:val="00D518A5"/>
    <w:rsid w:val="00D51A4B"/>
    <w:rsid w:val="00D51B60"/>
    <w:rsid w:val="00D51F3C"/>
    <w:rsid w:val="00D52F82"/>
    <w:rsid w:val="00D53494"/>
    <w:rsid w:val="00D5452A"/>
    <w:rsid w:val="00D54632"/>
    <w:rsid w:val="00D546B4"/>
    <w:rsid w:val="00D5494F"/>
    <w:rsid w:val="00D54AA9"/>
    <w:rsid w:val="00D5571A"/>
    <w:rsid w:val="00D55FD8"/>
    <w:rsid w:val="00D5648F"/>
    <w:rsid w:val="00D56A7E"/>
    <w:rsid w:val="00D56E89"/>
    <w:rsid w:val="00D56FE5"/>
    <w:rsid w:val="00D5703A"/>
    <w:rsid w:val="00D57143"/>
    <w:rsid w:val="00D57747"/>
    <w:rsid w:val="00D5776B"/>
    <w:rsid w:val="00D57BA9"/>
    <w:rsid w:val="00D57E8E"/>
    <w:rsid w:val="00D6129A"/>
    <w:rsid w:val="00D612A4"/>
    <w:rsid w:val="00D61AD7"/>
    <w:rsid w:val="00D61D3B"/>
    <w:rsid w:val="00D61F22"/>
    <w:rsid w:val="00D625DD"/>
    <w:rsid w:val="00D62619"/>
    <w:rsid w:val="00D6306A"/>
    <w:rsid w:val="00D631EB"/>
    <w:rsid w:val="00D633B0"/>
    <w:rsid w:val="00D63422"/>
    <w:rsid w:val="00D63F4E"/>
    <w:rsid w:val="00D64359"/>
    <w:rsid w:val="00D64A1B"/>
    <w:rsid w:val="00D652A3"/>
    <w:rsid w:val="00D6533E"/>
    <w:rsid w:val="00D659D9"/>
    <w:rsid w:val="00D65EAB"/>
    <w:rsid w:val="00D66B51"/>
    <w:rsid w:val="00D67153"/>
    <w:rsid w:val="00D67C57"/>
    <w:rsid w:val="00D70979"/>
    <w:rsid w:val="00D71232"/>
    <w:rsid w:val="00D725C5"/>
    <w:rsid w:val="00D7290E"/>
    <w:rsid w:val="00D73416"/>
    <w:rsid w:val="00D73549"/>
    <w:rsid w:val="00D73F75"/>
    <w:rsid w:val="00D743CF"/>
    <w:rsid w:val="00D752EF"/>
    <w:rsid w:val="00D77A53"/>
    <w:rsid w:val="00D77F74"/>
    <w:rsid w:val="00D819F2"/>
    <w:rsid w:val="00D82501"/>
    <w:rsid w:val="00D82CA8"/>
    <w:rsid w:val="00D82F03"/>
    <w:rsid w:val="00D83640"/>
    <w:rsid w:val="00D83A77"/>
    <w:rsid w:val="00D83D7B"/>
    <w:rsid w:val="00D84129"/>
    <w:rsid w:val="00D8445D"/>
    <w:rsid w:val="00D84E8B"/>
    <w:rsid w:val="00D85703"/>
    <w:rsid w:val="00D857ED"/>
    <w:rsid w:val="00D85D35"/>
    <w:rsid w:val="00D85F87"/>
    <w:rsid w:val="00D85FDC"/>
    <w:rsid w:val="00D8706C"/>
    <w:rsid w:val="00D870F9"/>
    <w:rsid w:val="00D87D83"/>
    <w:rsid w:val="00D906A2"/>
    <w:rsid w:val="00D9101F"/>
    <w:rsid w:val="00D91471"/>
    <w:rsid w:val="00D9166D"/>
    <w:rsid w:val="00D9428B"/>
    <w:rsid w:val="00D950B6"/>
    <w:rsid w:val="00D95189"/>
    <w:rsid w:val="00D95D4F"/>
    <w:rsid w:val="00D95EF7"/>
    <w:rsid w:val="00D96057"/>
    <w:rsid w:val="00D960C7"/>
    <w:rsid w:val="00D96D17"/>
    <w:rsid w:val="00DA0A3B"/>
    <w:rsid w:val="00DA245A"/>
    <w:rsid w:val="00DA2712"/>
    <w:rsid w:val="00DA320B"/>
    <w:rsid w:val="00DA3CD3"/>
    <w:rsid w:val="00DA4CAA"/>
    <w:rsid w:val="00DA4FA9"/>
    <w:rsid w:val="00DA5656"/>
    <w:rsid w:val="00DA7186"/>
    <w:rsid w:val="00DA7295"/>
    <w:rsid w:val="00DA737C"/>
    <w:rsid w:val="00DA7F37"/>
    <w:rsid w:val="00DB0181"/>
    <w:rsid w:val="00DB0660"/>
    <w:rsid w:val="00DB072D"/>
    <w:rsid w:val="00DB084D"/>
    <w:rsid w:val="00DB0D76"/>
    <w:rsid w:val="00DB1669"/>
    <w:rsid w:val="00DB22B7"/>
    <w:rsid w:val="00DB2DB2"/>
    <w:rsid w:val="00DB39A8"/>
    <w:rsid w:val="00DB4184"/>
    <w:rsid w:val="00DB4D0E"/>
    <w:rsid w:val="00DB5DE0"/>
    <w:rsid w:val="00DB71BA"/>
    <w:rsid w:val="00DB7BB2"/>
    <w:rsid w:val="00DB7C87"/>
    <w:rsid w:val="00DC01DB"/>
    <w:rsid w:val="00DC0989"/>
    <w:rsid w:val="00DC1DDC"/>
    <w:rsid w:val="00DC239F"/>
    <w:rsid w:val="00DC24E3"/>
    <w:rsid w:val="00DC2CA6"/>
    <w:rsid w:val="00DC3177"/>
    <w:rsid w:val="00DC340C"/>
    <w:rsid w:val="00DC3F6D"/>
    <w:rsid w:val="00DC450B"/>
    <w:rsid w:val="00DC4DB4"/>
    <w:rsid w:val="00DC4DB7"/>
    <w:rsid w:val="00DC4F4F"/>
    <w:rsid w:val="00DC524B"/>
    <w:rsid w:val="00DC6AB6"/>
    <w:rsid w:val="00DC6FDD"/>
    <w:rsid w:val="00DC7B7D"/>
    <w:rsid w:val="00DC7D24"/>
    <w:rsid w:val="00DC7EB2"/>
    <w:rsid w:val="00DD053C"/>
    <w:rsid w:val="00DD0B18"/>
    <w:rsid w:val="00DD10AA"/>
    <w:rsid w:val="00DD1106"/>
    <w:rsid w:val="00DD1323"/>
    <w:rsid w:val="00DD280E"/>
    <w:rsid w:val="00DD28B4"/>
    <w:rsid w:val="00DD2DD9"/>
    <w:rsid w:val="00DD3D76"/>
    <w:rsid w:val="00DD448E"/>
    <w:rsid w:val="00DD4F80"/>
    <w:rsid w:val="00DD53E6"/>
    <w:rsid w:val="00DD5586"/>
    <w:rsid w:val="00DD5616"/>
    <w:rsid w:val="00DD583D"/>
    <w:rsid w:val="00DD58C8"/>
    <w:rsid w:val="00DD5D13"/>
    <w:rsid w:val="00DD66DE"/>
    <w:rsid w:val="00DD6F17"/>
    <w:rsid w:val="00DD708A"/>
    <w:rsid w:val="00DD73DD"/>
    <w:rsid w:val="00DD7B65"/>
    <w:rsid w:val="00DE1516"/>
    <w:rsid w:val="00DE195B"/>
    <w:rsid w:val="00DE2718"/>
    <w:rsid w:val="00DE2C95"/>
    <w:rsid w:val="00DE3985"/>
    <w:rsid w:val="00DE42DF"/>
    <w:rsid w:val="00DE43A6"/>
    <w:rsid w:val="00DE43F1"/>
    <w:rsid w:val="00DE4959"/>
    <w:rsid w:val="00DE4EA7"/>
    <w:rsid w:val="00DE4F8F"/>
    <w:rsid w:val="00DE5A56"/>
    <w:rsid w:val="00DE5F74"/>
    <w:rsid w:val="00DE66D5"/>
    <w:rsid w:val="00DE70AB"/>
    <w:rsid w:val="00DE7D9C"/>
    <w:rsid w:val="00DF07DA"/>
    <w:rsid w:val="00DF0A70"/>
    <w:rsid w:val="00DF1EE5"/>
    <w:rsid w:val="00DF2FB5"/>
    <w:rsid w:val="00DF3162"/>
    <w:rsid w:val="00DF335A"/>
    <w:rsid w:val="00DF3501"/>
    <w:rsid w:val="00DF377B"/>
    <w:rsid w:val="00DF3B29"/>
    <w:rsid w:val="00DF3CEE"/>
    <w:rsid w:val="00DF3ECF"/>
    <w:rsid w:val="00DF41DA"/>
    <w:rsid w:val="00DF441F"/>
    <w:rsid w:val="00DF5727"/>
    <w:rsid w:val="00DF5835"/>
    <w:rsid w:val="00DF5ECD"/>
    <w:rsid w:val="00DF629F"/>
    <w:rsid w:val="00DF62D3"/>
    <w:rsid w:val="00DF64C1"/>
    <w:rsid w:val="00DF799C"/>
    <w:rsid w:val="00DF7E9D"/>
    <w:rsid w:val="00E0053C"/>
    <w:rsid w:val="00E00988"/>
    <w:rsid w:val="00E00DE9"/>
    <w:rsid w:val="00E01391"/>
    <w:rsid w:val="00E01926"/>
    <w:rsid w:val="00E01D97"/>
    <w:rsid w:val="00E01E4C"/>
    <w:rsid w:val="00E02108"/>
    <w:rsid w:val="00E02402"/>
    <w:rsid w:val="00E02926"/>
    <w:rsid w:val="00E02995"/>
    <w:rsid w:val="00E04B9C"/>
    <w:rsid w:val="00E05BA7"/>
    <w:rsid w:val="00E063FF"/>
    <w:rsid w:val="00E06430"/>
    <w:rsid w:val="00E068D3"/>
    <w:rsid w:val="00E06C13"/>
    <w:rsid w:val="00E06CFD"/>
    <w:rsid w:val="00E06E94"/>
    <w:rsid w:val="00E07226"/>
    <w:rsid w:val="00E07DEC"/>
    <w:rsid w:val="00E07E35"/>
    <w:rsid w:val="00E104F0"/>
    <w:rsid w:val="00E10EBA"/>
    <w:rsid w:val="00E1162C"/>
    <w:rsid w:val="00E1166C"/>
    <w:rsid w:val="00E11A1B"/>
    <w:rsid w:val="00E12789"/>
    <w:rsid w:val="00E12B7A"/>
    <w:rsid w:val="00E12CA5"/>
    <w:rsid w:val="00E14317"/>
    <w:rsid w:val="00E14E95"/>
    <w:rsid w:val="00E15586"/>
    <w:rsid w:val="00E157AA"/>
    <w:rsid w:val="00E15E7A"/>
    <w:rsid w:val="00E166A6"/>
    <w:rsid w:val="00E1682E"/>
    <w:rsid w:val="00E16C02"/>
    <w:rsid w:val="00E173B3"/>
    <w:rsid w:val="00E17455"/>
    <w:rsid w:val="00E174A5"/>
    <w:rsid w:val="00E17790"/>
    <w:rsid w:val="00E17B8F"/>
    <w:rsid w:val="00E17E27"/>
    <w:rsid w:val="00E201D1"/>
    <w:rsid w:val="00E2070C"/>
    <w:rsid w:val="00E209BB"/>
    <w:rsid w:val="00E21739"/>
    <w:rsid w:val="00E21F3C"/>
    <w:rsid w:val="00E22A09"/>
    <w:rsid w:val="00E22A8F"/>
    <w:rsid w:val="00E238AF"/>
    <w:rsid w:val="00E23B35"/>
    <w:rsid w:val="00E23B7B"/>
    <w:rsid w:val="00E243E3"/>
    <w:rsid w:val="00E24883"/>
    <w:rsid w:val="00E266A8"/>
    <w:rsid w:val="00E267D2"/>
    <w:rsid w:val="00E26A3D"/>
    <w:rsid w:val="00E274CB"/>
    <w:rsid w:val="00E279AB"/>
    <w:rsid w:val="00E27F8E"/>
    <w:rsid w:val="00E27F8F"/>
    <w:rsid w:val="00E3061C"/>
    <w:rsid w:val="00E30A9D"/>
    <w:rsid w:val="00E31905"/>
    <w:rsid w:val="00E31C78"/>
    <w:rsid w:val="00E32319"/>
    <w:rsid w:val="00E32FB8"/>
    <w:rsid w:val="00E33889"/>
    <w:rsid w:val="00E339CE"/>
    <w:rsid w:val="00E33B41"/>
    <w:rsid w:val="00E34E8F"/>
    <w:rsid w:val="00E35483"/>
    <w:rsid w:val="00E359C4"/>
    <w:rsid w:val="00E35DD9"/>
    <w:rsid w:val="00E35FAC"/>
    <w:rsid w:val="00E36F4E"/>
    <w:rsid w:val="00E372BA"/>
    <w:rsid w:val="00E37318"/>
    <w:rsid w:val="00E373FF"/>
    <w:rsid w:val="00E408A2"/>
    <w:rsid w:val="00E419EE"/>
    <w:rsid w:val="00E4516B"/>
    <w:rsid w:val="00E4536B"/>
    <w:rsid w:val="00E45FAC"/>
    <w:rsid w:val="00E46C1F"/>
    <w:rsid w:val="00E46EB7"/>
    <w:rsid w:val="00E50AA1"/>
    <w:rsid w:val="00E50E94"/>
    <w:rsid w:val="00E512BC"/>
    <w:rsid w:val="00E516AF"/>
    <w:rsid w:val="00E5184E"/>
    <w:rsid w:val="00E5190D"/>
    <w:rsid w:val="00E51A81"/>
    <w:rsid w:val="00E52672"/>
    <w:rsid w:val="00E53154"/>
    <w:rsid w:val="00E53ACD"/>
    <w:rsid w:val="00E55378"/>
    <w:rsid w:val="00E566A2"/>
    <w:rsid w:val="00E576B7"/>
    <w:rsid w:val="00E57CE1"/>
    <w:rsid w:val="00E600C1"/>
    <w:rsid w:val="00E60F05"/>
    <w:rsid w:val="00E61732"/>
    <w:rsid w:val="00E61F60"/>
    <w:rsid w:val="00E62CA9"/>
    <w:rsid w:val="00E6330E"/>
    <w:rsid w:val="00E637F0"/>
    <w:rsid w:val="00E63C3F"/>
    <w:rsid w:val="00E64B58"/>
    <w:rsid w:val="00E64F5E"/>
    <w:rsid w:val="00E6561F"/>
    <w:rsid w:val="00E66093"/>
    <w:rsid w:val="00E661C6"/>
    <w:rsid w:val="00E66320"/>
    <w:rsid w:val="00E66B4E"/>
    <w:rsid w:val="00E66C55"/>
    <w:rsid w:val="00E70108"/>
    <w:rsid w:val="00E71CA5"/>
    <w:rsid w:val="00E71E42"/>
    <w:rsid w:val="00E725F9"/>
    <w:rsid w:val="00E7366B"/>
    <w:rsid w:val="00E74468"/>
    <w:rsid w:val="00E746DB"/>
    <w:rsid w:val="00E74EA4"/>
    <w:rsid w:val="00E75012"/>
    <w:rsid w:val="00E75372"/>
    <w:rsid w:val="00E75E40"/>
    <w:rsid w:val="00E75E68"/>
    <w:rsid w:val="00E75E88"/>
    <w:rsid w:val="00E76FA4"/>
    <w:rsid w:val="00E776A1"/>
    <w:rsid w:val="00E77747"/>
    <w:rsid w:val="00E77AB6"/>
    <w:rsid w:val="00E77D08"/>
    <w:rsid w:val="00E81538"/>
    <w:rsid w:val="00E81A3B"/>
    <w:rsid w:val="00E82393"/>
    <w:rsid w:val="00E827B4"/>
    <w:rsid w:val="00E82B78"/>
    <w:rsid w:val="00E82F18"/>
    <w:rsid w:val="00E835BE"/>
    <w:rsid w:val="00E83697"/>
    <w:rsid w:val="00E843A7"/>
    <w:rsid w:val="00E84957"/>
    <w:rsid w:val="00E84D92"/>
    <w:rsid w:val="00E8533D"/>
    <w:rsid w:val="00E86F55"/>
    <w:rsid w:val="00E87847"/>
    <w:rsid w:val="00E87AF0"/>
    <w:rsid w:val="00E87B6D"/>
    <w:rsid w:val="00E87C71"/>
    <w:rsid w:val="00E902FB"/>
    <w:rsid w:val="00E908D7"/>
    <w:rsid w:val="00E90F87"/>
    <w:rsid w:val="00E91DEC"/>
    <w:rsid w:val="00E9414C"/>
    <w:rsid w:val="00E95294"/>
    <w:rsid w:val="00E952AB"/>
    <w:rsid w:val="00E952DE"/>
    <w:rsid w:val="00E956AB"/>
    <w:rsid w:val="00E95FDC"/>
    <w:rsid w:val="00E97366"/>
    <w:rsid w:val="00E974D6"/>
    <w:rsid w:val="00EA02FF"/>
    <w:rsid w:val="00EA0874"/>
    <w:rsid w:val="00EA08D4"/>
    <w:rsid w:val="00EA0E7D"/>
    <w:rsid w:val="00EA1C6C"/>
    <w:rsid w:val="00EA1EF7"/>
    <w:rsid w:val="00EA26CD"/>
    <w:rsid w:val="00EA2980"/>
    <w:rsid w:val="00EA2F4F"/>
    <w:rsid w:val="00EA3AAC"/>
    <w:rsid w:val="00EA3F54"/>
    <w:rsid w:val="00EA4649"/>
    <w:rsid w:val="00EA6E92"/>
    <w:rsid w:val="00EA7AE7"/>
    <w:rsid w:val="00EA7B0E"/>
    <w:rsid w:val="00EA7EC2"/>
    <w:rsid w:val="00EB02BE"/>
    <w:rsid w:val="00EB05E5"/>
    <w:rsid w:val="00EB192A"/>
    <w:rsid w:val="00EB257B"/>
    <w:rsid w:val="00EB25E0"/>
    <w:rsid w:val="00EB31F7"/>
    <w:rsid w:val="00EB3AE9"/>
    <w:rsid w:val="00EB3D2A"/>
    <w:rsid w:val="00EB46AA"/>
    <w:rsid w:val="00EB47E6"/>
    <w:rsid w:val="00EB4CB7"/>
    <w:rsid w:val="00EB531B"/>
    <w:rsid w:val="00EB54FC"/>
    <w:rsid w:val="00EB55B1"/>
    <w:rsid w:val="00EB5F40"/>
    <w:rsid w:val="00EB6536"/>
    <w:rsid w:val="00EB658C"/>
    <w:rsid w:val="00EB6742"/>
    <w:rsid w:val="00EB734A"/>
    <w:rsid w:val="00EB7705"/>
    <w:rsid w:val="00EB7B29"/>
    <w:rsid w:val="00EC0258"/>
    <w:rsid w:val="00EC0276"/>
    <w:rsid w:val="00EC0325"/>
    <w:rsid w:val="00EC03F0"/>
    <w:rsid w:val="00EC1CA8"/>
    <w:rsid w:val="00EC2084"/>
    <w:rsid w:val="00EC20DE"/>
    <w:rsid w:val="00EC2263"/>
    <w:rsid w:val="00EC301C"/>
    <w:rsid w:val="00EC340E"/>
    <w:rsid w:val="00EC3A95"/>
    <w:rsid w:val="00EC3C86"/>
    <w:rsid w:val="00EC4064"/>
    <w:rsid w:val="00EC4A14"/>
    <w:rsid w:val="00EC4EDF"/>
    <w:rsid w:val="00EC4F0F"/>
    <w:rsid w:val="00EC578C"/>
    <w:rsid w:val="00EC5853"/>
    <w:rsid w:val="00EC59CD"/>
    <w:rsid w:val="00EC5D3C"/>
    <w:rsid w:val="00EC7D91"/>
    <w:rsid w:val="00EC7EB6"/>
    <w:rsid w:val="00EC7EC5"/>
    <w:rsid w:val="00ED0AD7"/>
    <w:rsid w:val="00ED15E3"/>
    <w:rsid w:val="00ED1E89"/>
    <w:rsid w:val="00ED3349"/>
    <w:rsid w:val="00ED33F1"/>
    <w:rsid w:val="00ED34EB"/>
    <w:rsid w:val="00ED3AC0"/>
    <w:rsid w:val="00ED3B8E"/>
    <w:rsid w:val="00ED3F78"/>
    <w:rsid w:val="00ED51DC"/>
    <w:rsid w:val="00ED51E9"/>
    <w:rsid w:val="00ED5A07"/>
    <w:rsid w:val="00ED5B8E"/>
    <w:rsid w:val="00ED5D12"/>
    <w:rsid w:val="00ED5FBB"/>
    <w:rsid w:val="00ED6156"/>
    <w:rsid w:val="00ED616D"/>
    <w:rsid w:val="00ED69C1"/>
    <w:rsid w:val="00ED6A16"/>
    <w:rsid w:val="00EE0244"/>
    <w:rsid w:val="00EE06C9"/>
    <w:rsid w:val="00EE0855"/>
    <w:rsid w:val="00EE0A0A"/>
    <w:rsid w:val="00EE0ED7"/>
    <w:rsid w:val="00EE10B4"/>
    <w:rsid w:val="00EE13F1"/>
    <w:rsid w:val="00EE1B66"/>
    <w:rsid w:val="00EE23AD"/>
    <w:rsid w:val="00EE2AD1"/>
    <w:rsid w:val="00EE31F5"/>
    <w:rsid w:val="00EE33E6"/>
    <w:rsid w:val="00EE35E9"/>
    <w:rsid w:val="00EE36A6"/>
    <w:rsid w:val="00EE5760"/>
    <w:rsid w:val="00EE5E05"/>
    <w:rsid w:val="00EE6CF8"/>
    <w:rsid w:val="00EE7902"/>
    <w:rsid w:val="00EF02AB"/>
    <w:rsid w:val="00EF037E"/>
    <w:rsid w:val="00EF0872"/>
    <w:rsid w:val="00EF1835"/>
    <w:rsid w:val="00EF27B5"/>
    <w:rsid w:val="00EF2A38"/>
    <w:rsid w:val="00EF3376"/>
    <w:rsid w:val="00EF3821"/>
    <w:rsid w:val="00EF4A46"/>
    <w:rsid w:val="00EF4F43"/>
    <w:rsid w:val="00EF4F62"/>
    <w:rsid w:val="00EF534A"/>
    <w:rsid w:val="00EF5A8B"/>
    <w:rsid w:val="00EF60C7"/>
    <w:rsid w:val="00EF78D2"/>
    <w:rsid w:val="00F005E5"/>
    <w:rsid w:val="00F00633"/>
    <w:rsid w:val="00F006AA"/>
    <w:rsid w:val="00F0091C"/>
    <w:rsid w:val="00F00FAA"/>
    <w:rsid w:val="00F01419"/>
    <w:rsid w:val="00F02BBC"/>
    <w:rsid w:val="00F02BC2"/>
    <w:rsid w:val="00F0348F"/>
    <w:rsid w:val="00F03845"/>
    <w:rsid w:val="00F04931"/>
    <w:rsid w:val="00F0591E"/>
    <w:rsid w:val="00F0617D"/>
    <w:rsid w:val="00F06208"/>
    <w:rsid w:val="00F10BE9"/>
    <w:rsid w:val="00F117AA"/>
    <w:rsid w:val="00F11DBF"/>
    <w:rsid w:val="00F11E3B"/>
    <w:rsid w:val="00F12843"/>
    <w:rsid w:val="00F1375C"/>
    <w:rsid w:val="00F13C50"/>
    <w:rsid w:val="00F1496F"/>
    <w:rsid w:val="00F1582F"/>
    <w:rsid w:val="00F15AE6"/>
    <w:rsid w:val="00F16F3C"/>
    <w:rsid w:val="00F20BA4"/>
    <w:rsid w:val="00F20F76"/>
    <w:rsid w:val="00F21434"/>
    <w:rsid w:val="00F223DA"/>
    <w:rsid w:val="00F2295A"/>
    <w:rsid w:val="00F2358C"/>
    <w:rsid w:val="00F23C44"/>
    <w:rsid w:val="00F23DCD"/>
    <w:rsid w:val="00F23EC9"/>
    <w:rsid w:val="00F241DF"/>
    <w:rsid w:val="00F24DCD"/>
    <w:rsid w:val="00F24F29"/>
    <w:rsid w:val="00F255ED"/>
    <w:rsid w:val="00F256D3"/>
    <w:rsid w:val="00F2673B"/>
    <w:rsid w:val="00F26FEB"/>
    <w:rsid w:val="00F2729A"/>
    <w:rsid w:val="00F27B65"/>
    <w:rsid w:val="00F27B94"/>
    <w:rsid w:val="00F27F78"/>
    <w:rsid w:val="00F300FD"/>
    <w:rsid w:val="00F30BD1"/>
    <w:rsid w:val="00F30BFF"/>
    <w:rsid w:val="00F31B48"/>
    <w:rsid w:val="00F32257"/>
    <w:rsid w:val="00F3287E"/>
    <w:rsid w:val="00F32B09"/>
    <w:rsid w:val="00F33359"/>
    <w:rsid w:val="00F339CD"/>
    <w:rsid w:val="00F33BB2"/>
    <w:rsid w:val="00F3478F"/>
    <w:rsid w:val="00F34CCB"/>
    <w:rsid w:val="00F34CF0"/>
    <w:rsid w:val="00F34F31"/>
    <w:rsid w:val="00F352D5"/>
    <w:rsid w:val="00F35AFC"/>
    <w:rsid w:val="00F360ED"/>
    <w:rsid w:val="00F36A41"/>
    <w:rsid w:val="00F36BF5"/>
    <w:rsid w:val="00F37071"/>
    <w:rsid w:val="00F376F8"/>
    <w:rsid w:val="00F37DE1"/>
    <w:rsid w:val="00F37F6F"/>
    <w:rsid w:val="00F40C33"/>
    <w:rsid w:val="00F41203"/>
    <w:rsid w:val="00F41706"/>
    <w:rsid w:val="00F41804"/>
    <w:rsid w:val="00F41EF9"/>
    <w:rsid w:val="00F4213F"/>
    <w:rsid w:val="00F421E9"/>
    <w:rsid w:val="00F42533"/>
    <w:rsid w:val="00F42DA9"/>
    <w:rsid w:val="00F430D1"/>
    <w:rsid w:val="00F431A7"/>
    <w:rsid w:val="00F435A0"/>
    <w:rsid w:val="00F43D3D"/>
    <w:rsid w:val="00F44501"/>
    <w:rsid w:val="00F44B27"/>
    <w:rsid w:val="00F44B44"/>
    <w:rsid w:val="00F44D48"/>
    <w:rsid w:val="00F45D36"/>
    <w:rsid w:val="00F45F24"/>
    <w:rsid w:val="00F46499"/>
    <w:rsid w:val="00F4659C"/>
    <w:rsid w:val="00F470F6"/>
    <w:rsid w:val="00F505F3"/>
    <w:rsid w:val="00F51677"/>
    <w:rsid w:val="00F51B06"/>
    <w:rsid w:val="00F51B43"/>
    <w:rsid w:val="00F54115"/>
    <w:rsid w:val="00F54817"/>
    <w:rsid w:val="00F549E2"/>
    <w:rsid w:val="00F554BA"/>
    <w:rsid w:val="00F556DE"/>
    <w:rsid w:val="00F56534"/>
    <w:rsid w:val="00F5669D"/>
    <w:rsid w:val="00F57C58"/>
    <w:rsid w:val="00F6198E"/>
    <w:rsid w:val="00F61994"/>
    <w:rsid w:val="00F61BF5"/>
    <w:rsid w:val="00F62376"/>
    <w:rsid w:val="00F626F7"/>
    <w:rsid w:val="00F62AB5"/>
    <w:rsid w:val="00F6333E"/>
    <w:rsid w:val="00F636F3"/>
    <w:rsid w:val="00F642F2"/>
    <w:rsid w:val="00F646FE"/>
    <w:rsid w:val="00F64995"/>
    <w:rsid w:val="00F64E29"/>
    <w:rsid w:val="00F65C21"/>
    <w:rsid w:val="00F65C95"/>
    <w:rsid w:val="00F65D5D"/>
    <w:rsid w:val="00F66157"/>
    <w:rsid w:val="00F66302"/>
    <w:rsid w:val="00F6683F"/>
    <w:rsid w:val="00F66A0F"/>
    <w:rsid w:val="00F6708D"/>
    <w:rsid w:val="00F67BF9"/>
    <w:rsid w:val="00F67CAD"/>
    <w:rsid w:val="00F67F05"/>
    <w:rsid w:val="00F70C04"/>
    <w:rsid w:val="00F71A15"/>
    <w:rsid w:val="00F71C10"/>
    <w:rsid w:val="00F7224B"/>
    <w:rsid w:val="00F72E0E"/>
    <w:rsid w:val="00F7304C"/>
    <w:rsid w:val="00F73334"/>
    <w:rsid w:val="00F73FA9"/>
    <w:rsid w:val="00F74BA3"/>
    <w:rsid w:val="00F74F7F"/>
    <w:rsid w:val="00F76080"/>
    <w:rsid w:val="00F76D12"/>
    <w:rsid w:val="00F76F22"/>
    <w:rsid w:val="00F76FBB"/>
    <w:rsid w:val="00F77300"/>
    <w:rsid w:val="00F7749D"/>
    <w:rsid w:val="00F77501"/>
    <w:rsid w:val="00F779B5"/>
    <w:rsid w:val="00F77B5D"/>
    <w:rsid w:val="00F8009C"/>
    <w:rsid w:val="00F8106B"/>
    <w:rsid w:val="00F81349"/>
    <w:rsid w:val="00F81912"/>
    <w:rsid w:val="00F81934"/>
    <w:rsid w:val="00F81B16"/>
    <w:rsid w:val="00F82340"/>
    <w:rsid w:val="00F827D5"/>
    <w:rsid w:val="00F82B26"/>
    <w:rsid w:val="00F83098"/>
    <w:rsid w:val="00F838F7"/>
    <w:rsid w:val="00F83F5B"/>
    <w:rsid w:val="00F84327"/>
    <w:rsid w:val="00F85381"/>
    <w:rsid w:val="00F86511"/>
    <w:rsid w:val="00F86CF6"/>
    <w:rsid w:val="00F86D59"/>
    <w:rsid w:val="00F90527"/>
    <w:rsid w:val="00F90D88"/>
    <w:rsid w:val="00F91BC5"/>
    <w:rsid w:val="00F91C05"/>
    <w:rsid w:val="00F92A4E"/>
    <w:rsid w:val="00F92DAE"/>
    <w:rsid w:val="00F92E3A"/>
    <w:rsid w:val="00F93863"/>
    <w:rsid w:val="00F93A61"/>
    <w:rsid w:val="00F93C8B"/>
    <w:rsid w:val="00F93EE2"/>
    <w:rsid w:val="00F940AD"/>
    <w:rsid w:val="00F94633"/>
    <w:rsid w:val="00F95016"/>
    <w:rsid w:val="00F95D52"/>
    <w:rsid w:val="00F9660C"/>
    <w:rsid w:val="00F969D7"/>
    <w:rsid w:val="00F96D82"/>
    <w:rsid w:val="00F97479"/>
    <w:rsid w:val="00F97B41"/>
    <w:rsid w:val="00FA0430"/>
    <w:rsid w:val="00FA09C5"/>
    <w:rsid w:val="00FA0B46"/>
    <w:rsid w:val="00FA0B9A"/>
    <w:rsid w:val="00FA1557"/>
    <w:rsid w:val="00FA1F7F"/>
    <w:rsid w:val="00FA21DB"/>
    <w:rsid w:val="00FA21EB"/>
    <w:rsid w:val="00FA225E"/>
    <w:rsid w:val="00FA2493"/>
    <w:rsid w:val="00FA29F6"/>
    <w:rsid w:val="00FA2C37"/>
    <w:rsid w:val="00FA456D"/>
    <w:rsid w:val="00FA4A29"/>
    <w:rsid w:val="00FA5DED"/>
    <w:rsid w:val="00FA7B42"/>
    <w:rsid w:val="00FB0E71"/>
    <w:rsid w:val="00FB1102"/>
    <w:rsid w:val="00FB15AB"/>
    <w:rsid w:val="00FB192C"/>
    <w:rsid w:val="00FB1FFF"/>
    <w:rsid w:val="00FB21A2"/>
    <w:rsid w:val="00FB3DF1"/>
    <w:rsid w:val="00FB4580"/>
    <w:rsid w:val="00FB48A6"/>
    <w:rsid w:val="00FB52BE"/>
    <w:rsid w:val="00FB5CEE"/>
    <w:rsid w:val="00FB702F"/>
    <w:rsid w:val="00FB72D0"/>
    <w:rsid w:val="00FB760B"/>
    <w:rsid w:val="00FC0444"/>
    <w:rsid w:val="00FC0963"/>
    <w:rsid w:val="00FC0C44"/>
    <w:rsid w:val="00FC0DF6"/>
    <w:rsid w:val="00FC236A"/>
    <w:rsid w:val="00FC2BF2"/>
    <w:rsid w:val="00FC34F0"/>
    <w:rsid w:val="00FC43F9"/>
    <w:rsid w:val="00FC5312"/>
    <w:rsid w:val="00FC59D2"/>
    <w:rsid w:val="00FC5D39"/>
    <w:rsid w:val="00FC61BA"/>
    <w:rsid w:val="00FC66FB"/>
    <w:rsid w:val="00FC6BC8"/>
    <w:rsid w:val="00FC6BCC"/>
    <w:rsid w:val="00FC6E91"/>
    <w:rsid w:val="00FC797E"/>
    <w:rsid w:val="00FD067F"/>
    <w:rsid w:val="00FD122C"/>
    <w:rsid w:val="00FD14B7"/>
    <w:rsid w:val="00FD2720"/>
    <w:rsid w:val="00FD276F"/>
    <w:rsid w:val="00FD2EE1"/>
    <w:rsid w:val="00FD334B"/>
    <w:rsid w:val="00FD3740"/>
    <w:rsid w:val="00FD3FA9"/>
    <w:rsid w:val="00FD4A6B"/>
    <w:rsid w:val="00FD52F3"/>
    <w:rsid w:val="00FD5A46"/>
    <w:rsid w:val="00FD5D7A"/>
    <w:rsid w:val="00FD5DFC"/>
    <w:rsid w:val="00FD66C0"/>
    <w:rsid w:val="00FD724B"/>
    <w:rsid w:val="00FD73C7"/>
    <w:rsid w:val="00FD7582"/>
    <w:rsid w:val="00FD75C3"/>
    <w:rsid w:val="00FD7B16"/>
    <w:rsid w:val="00FE091D"/>
    <w:rsid w:val="00FE12DB"/>
    <w:rsid w:val="00FE12E5"/>
    <w:rsid w:val="00FE36B2"/>
    <w:rsid w:val="00FE37E2"/>
    <w:rsid w:val="00FE460A"/>
    <w:rsid w:val="00FE5B56"/>
    <w:rsid w:val="00FE64A3"/>
    <w:rsid w:val="00FE6686"/>
    <w:rsid w:val="00FE7A69"/>
    <w:rsid w:val="00FE7D92"/>
    <w:rsid w:val="00FF03C9"/>
    <w:rsid w:val="00FF0583"/>
    <w:rsid w:val="00FF07E0"/>
    <w:rsid w:val="00FF13AB"/>
    <w:rsid w:val="00FF17B3"/>
    <w:rsid w:val="00FF2657"/>
    <w:rsid w:val="00FF27E3"/>
    <w:rsid w:val="00FF2812"/>
    <w:rsid w:val="00FF35B0"/>
    <w:rsid w:val="00FF3D81"/>
    <w:rsid w:val="00FF3D91"/>
    <w:rsid w:val="00FF47AA"/>
    <w:rsid w:val="00FF62FB"/>
    <w:rsid w:val="00FF764D"/>
    <w:rsid w:val="00FF7EB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BEDC73"/>
  <w15:docId w15:val="{61BFC8DB-E637-47F4-A7B3-AF29DC033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C550E"/>
    <w:pPr>
      <w:suppressAutoHyphens/>
      <w:spacing w:after="200" w:line="276" w:lineRule="auto"/>
    </w:pPr>
    <w:rPr>
      <w:sz w:val="22"/>
      <w:szCs w:val="22"/>
      <w:lang w:eastAsia="en-US"/>
    </w:rPr>
  </w:style>
  <w:style w:type="paragraph" w:styleId="Nadpis1">
    <w:name w:val="heading 1"/>
    <w:basedOn w:val="Normln"/>
    <w:next w:val="Normln"/>
    <w:link w:val="Nadpis1Char"/>
    <w:uiPriority w:val="9"/>
    <w:qFormat/>
    <w:rsid w:val="00444A20"/>
    <w:pPr>
      <w:keepNext/>
      <w:keepLines/>
      <w:numPr>
        <w:numId w:val="2"/>
      </w:numPr>
      <w:suppressAutoHyphens w:val="0"/>
      <w:spacing w:before="240" w:after="120" w:line="240" w:lineRule="auto"/>
      <w:outlineLvl w:val="0"/>
    </w:pPr>
    <w:rPr>
      <w:rFonts w:eastAsia="Calibri"/>
      <w:b/>
      <w:sz w:val="28"/>
    </w:rPr>
  </w:style>
  <w:style w:type="paragraph" w:styleId="Nadpis2">
    <w:name w:val="heading 2"/>
    <w:basedOn w:val="Normln"/>
    <w:next w:val="Normln"/>
    <w:link w:val="Nadpis2Char"/>
    <w:uiPriority w:val="9"/>
    <w:unhideWhenUsed/>
    <w:qFormat/>
    <w:rsid w:val="00FB72D0"/>
    <w:pPr>
      <w:numPr>
        <w:ilvl w:val="1"/>
        <w:numId w:val="2"/>
      </w:numPr>
      <w:shd w:val="clear" w:color="auto" w:fill="FFFFFF"/>
      <w:spacing w:before="240" w:after="240" w:line="240" w:lineRule="auto"/>
      <w:jc w:val="both"/>
      <w:outlineLvl w:val="1"/>
    </w:pPr>
    <w:rPr>
      <w:b/>
      <w:sz w:val="24"/>
    </w:rPr>
  </w:style>
  <w:style w:type="paragraph" w:styleId="Nadpis3">
    <w:name w:val="heading 3"/>
    <w:basedOn w:val="Nadpis2"/>
    <w:next w:val="Normln"/>
    <w:link w:val="Nadpis3Char"/>
    <w:uiPriority w:val="9"/>
    <w:unhideWhenUsed/>
    <w:qFormat/>
    <w:rsid w:val="00601874"/>
    <w:pPr>
      <w:numPr>
        <w:ilvl w:val="2"/>
      </w:numPr>
      <w:shd w:val="clear" w:color="auto" w:fill="FFFFFF" w:themeFill="background1"/>
      <w:spacing w:before="120" w:after="120" w:line="276" w:lineRule="auto"/>
      <w:outlineLvl w:val="2"/>
    </w:pPr>
    <w:rPr>
      <w:sz w:val="22"/>
    </w:rPr>
  </w:style>
  <w:style w:type="paragraph" w:styleId="Nadpis4">
    <w:name w:val="heading 4"/>
    <w:next w:val="Normln"/>
    <w:link w:val="Nadpis4Char"/>
    <w:uiPriority w:val="9"/>
    <w:unhideWhenUsed/>
    <w:qFormat/>
    <w:rsid w:val="009F70A9"/>
    <w:pPr>
      <w:shd w:val="clear" w:color="auto" w:fill="DBE5F1"/>
      <w:spacing w:line="276" w:lineRule="auto"/>
      <w:outlineLvl w:val="3"/>
    </w:pPr>
    <w:rPr>
      <w:b/>
      <w:sz w:val="24"/>
      <w:szCs w:val="22"/>
      <w:lang w:eastAsia="en-US"/>
    </w:rPr>
  </w:style>
  <w:style w:type="paragraph" w:styleId="Nadpis5">
    <w:name w:val="heading 5"/>
    <w:basedOn w:val="Nadpis4"/>
    <w:next w:val="Normln"/>
    <w:link w:val="Nadpis5Char"/>
    <w:uiPriority w:val="9"/>
    <w:unhideWhenUsed/>
    <w:qFormat/>
    <w:rsid w:val="009F70A9"/>
    <w:pPr>
      <w:pBdr>
        <w:bottom w:val="single" w:sz="12" w:space="1" w:color="auto"/>
      </w:pBdr>
      <w:shd w:val="clear" w:color="auto" w:fill="FFFFFF"/>
      <w:spacing w:before="240" w:after="60"/>
      <w:outlineLvl w:val="4"/>
    </w:pPr>
  </w:style>
  <w:style w:type="paragraph" w:styleId="Nadpis6">
    <w:name w:val="heading 6"/>
    <w:basedOn w:val="Nadpis2"/>
    <w:next w:val="Normln"/>
    <w:link w:val="Nadpis6Char"/>
    <w:uiPriority w:val="9"/>
    <w:unhideWhenUsed/>
    <w:qFormat/>
    <w:rsid w:val="00D03149"/>
    <w:pPr>
      <w:keepNext/>
      <w:keepLines/>
      <w:numPr>
        <w:ilvl w:val="5"/>
      </w:numPr>
      <w:spacing w:before="200" w:after="0"/>
      <w:outlineLvl w:val="5"/>
    </w:pPr>
    <w:rPr>
      <w:rFonts w:ascii="Cambria" w:eastAsia="Times New Roman" w:hAnsi="Cambria"/>
      <w:iCs/>
      <w:color w:val="000000"/>
    </w:rPr>
  </w:style>
  <w:style w:type="paragraph" w:styleId="Nadpis7">
    <w:name w:val="heading 7"/>
    <w:basedOn w:val="Nadpis2"/>
    <w:next w:val="Normln"/>
    <w:link w:val="Nadpis7Char"/>
    <w:uiPriority w:val="9"/>
    <w:unhideWhenUsed/>
    <w:qFormat/>
    <w:rsid w:val="00D03149"/>
    <w:pPr>
      <w:numPr>
        <w:ilvl w:val="6"/>
      </w:numPr>
      <w:outlineLvl w:val="6"/>
    </w:pPr>
  </w:style>
  <w:style w:type="paragraph" w:styleId="Nadpis8">
    <w:name w:val="heading 8"/>
    <w:basedOn w:val="Normln"/>
    <w:next w:val="Normln"/>
    <w:link w:val="Nadpis8Char"/>
    <w:uiPriority w:val="9"/>
    <w:semiHidden/>
    <w:unhideWhenUsed/>
    <w:qFormat/>
    <w:rsid w:val="00115A73"/>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115A73"/>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basedOn w:val="Standardnpsmoodstavce"/>
    <w:link w:val="Zhlav"/>
    <w:uiPriority w:val="99"/>
    <w:rsid w:val="009C352F"/>
  </w:style>
  <w:style w:type="character" w:customStyle="1" w:styleId="ZpatChar">
    <w:name w:val="Zápatí Char"/>
    <w:basedOn w:val="Standardnpsmoodstavce"/>
    <w:link w:val="Zpat"/>
    <w:uiPriority w:val="99"/>
    <w:rsid w:val="009C352F"/>
  </w:style>
  <w:style w:type="character" w:styleId="Odkaznakoment">
    <w:name w:val="annotation reference"/>
    <w:uiPriority w:val="99"/>
    <w:semiHidden/>
    <w:unhideWhenUsed/>
    <w:rsid w:val="00F042A6"/>
    <w:rPr>
      <w:sz w:val="16"/>
      <w:szCs w:val="16"/>
    </w:rPr>
  </w:style>
  <w:style w:type="character" w:customStyle="1" w:styleId="TextkomenteChar">
    <w:name w:val="Text komentáře Char"/>
    <w:link w:val="Textkomente"/>
    <w:uiPriority w:val="99"/>
    <w:rsid w:val="00F042A6"/>
    <w:rPr>
      <w:sz w:val="20"/>
      <w:szCs w:val="20"/>
    </w:rPr>
  </w:style>
  <w:style w:type="character" w:customStyle="1" w:styleId="PedmtkomenteChar">
    <w:name w:val="Předmět komentáře Char"/>
    <w:link w:val="Pedmtkomente"/>
    <w:uiPriority w:val="99"/>
    <w:semiHidden/>
    <w:rsid w:val="00F042A6"/>
    <w:rPr>
      <w:b/>
      <w:bCs/>
      <w:sz w:val="20"/>
      <w:szCs w:val="20"/>
    </w:rPr>
  </w:style>
  <w:style w:type="character" w:customStyle="1" w:styleId="TextbublinyChar">
    <w:name w:val="Text bubliny Char"/>
    <w:link w:val="Textbubliny"/>
    <w:uiPriority w:val="99"/>
    <w:semiHidden/>
    <w:rsid w:val="00F042A6"/>
    <w:rPr>
      <w:rFonts w:ascii="Tahoma" w:hAnsi="Tahoma" w:cs="Tahoma"/>
      <w:sz w:val="16"/>
      <w:szCs w:val="16"/>
    </w:rPr>
  </w:style>
  <w:style w:type="character" w:customStyle="1" w:styleId="TextzprvyChar">
    <w:name w:val="Text zprávy Char"/>
    <w:link w:val="Textzprvy"/>
    <w:rsid w:val="00825029"/>
    <w:rPr>
      <w:rFonts w:ascii="Bookman Old Style" w:eastAsia="Times New Roman" w:hAnsi="Bookman Old Style" w:cs="Times New Roman"/>
      <w:sz w:val="20"/>
      <w:szCs w:val="24"/>
      <w:lang w:eastAsia="cs-CZ"/>
    </w:rPr>
  </w:style>
  <w:style w:type="character" w:customStyle="1" w:styleId="Internetovodkaz">
    <w:name w:val="Internetový odkaz"/>
    <w:uiPriority w:val="99"/>
    <w:unhideWhenUsed/>
    <w:rsid w:val="006A00D8"/>
    <w:rPr>
      <w:color w:val="0000FF"/>
      <w:u w:val="single"/>
    </w:rPr>
  </w:style>
  <w:style w:type="character" w:customStyle="1" w:styleId="TextpoznpodarouChar">
    <w:name w:val="Text pozn. pod čarou Char"/>
    <w:aliases w:val="Schriftart: 9 pt Char,Schriftart: 10 pt Char,Schriftart: 8 pt Char,pozn. pod čarou Char,Podrozdział Char,Footnote Char,Podrozdzia3 Char"/>
    <w:link w:val="Textpoznpodarou"/>
    <w:uiPriority w:val="99"/>
    <w:rsid w:val="00121EB3"/>
    <w:rPr>
      <w:rFonts w:ascii="Calibri" w:eastAsia="Calibri" w:hAnsi="Calibri" w:cs="Times New Roman"/>
      <w:sz w:val="20"/>
      <w:szCs w:val="20"/>
    </w:rPr>
  </w:style>
  <w:style w:type="character" w:styleId="Znakapoznpodarou">
    <w:name w:val="footnote reference"/>
    <w:rsid w:val="00121EB3"/>
    <w:rPr>
      <w:rFonts w:cs="Times New Roman"/>
      <w:vertAlign w:val="superscript"/>
    </w:rPr>
  </w:style>
  <w:style w:type="character" w:customStyle="1" w:styleId="ListLabel1">
    <w:name w:val="ListLabel 1"/>
    <w:rPr>
      <w:rFonts w:cs="Courier New"/>
    </w:rPr>
  </w:style>
  <w:style w:type="character" w:customStyle="1" w:styleId="ListLabel2">
    <w:name w:val="ListLabel 2"/>
  </w:style>
  <w:style w:type="character" w:customStyle="1" w:styleId="ListLabel3">
    <w:name w:val="ListLabel 3"/>
    <w:rPr>
      <w:rFonts w:cs="Times New Roman"/>
    </w:rPr>
  </w:style>
  <w:style w:type="character" w:customStyle="1" w:styleId="Znakypropoznmkupodarou">
    <w:name w:val="Znaky pro poznámku pod čarou"/>
  </w:style>
  <w:style w:type="character" w:customStyle="1" w:styleId="Ukotvenpoznmkypodarou">
    <w:name w:val="Ukotvení poznámky pod čarou"/>
    <w:rPr>
      <w:vertAlign w:val="superscript"/>
    </w:rPr>
  </w:style>
  <w:style w:type="character" w:customStyle="1" w:styleId="Ukotvenvysvtlivky">
    <w:name w:val="Ukotvení vysvětlivky"/>
    <w:rPr>
      <w:vertAlign w:val="superscript"/>
    </w:rPr>
  </w:style>
  <w:style w:type="character" w:customStyle="1" w:styleId="Znakyprovysvtlivky">
    <w:name w:val="Znaky pro vysvětlivky"/>
  </w:style>
  <w:style w:type="paragraph" w:customStyle="1" w:styleId="Nadpis">
    <w:name w:val="Nadpis"/>
    <w:basedOn w:val="Normln"/>
    <w:next w:val="Tlotextu"/>
    <w:pPr>
      <w:keepNext/>
      <w:spacing w:before="240" w:after="120"/>
    </w:pPr>
    <w:rPr>
      <w:rFonts w:ascii="Liberation Sans" w:hAnsi="Liberation Sans" w:cs="FreeSans"/>
      <w:sz w:val="28"/>
      <w:szCs w:val="28"/>
    </w:rPr>
  </w:style>
  <w:style w:type="paragraph" w:customStyle="1" w:styleId="Tlotextu">
    <w:name w:val="Tělo textu"/>
    <w:basedOn w:val="Normln"/>
    <w:pPr>
      <w:spacing w:after="140" w:line="288" w:lineRule="auto"/>
    </w:pPr>
  </w:style>
  <w:style w:type="paragraph" w:styleId="Seznam">
    <w:name w:val="List"/>
    <w:basedOn w:val="Tlotextu"/>
    <w:rPr>
      <w:rFonts w:cs="FreeSans"/>
    </w:rPr>
  </w:style>
  <w:style w:type="paragraph" w:customStyle="1" w:styleId="Popisek">
    <w:name w:val="Popisek"/>
    <w:basedOn w:val="Normln"/>
    <w:pPr>
      <w:suppressLineNumbers/>
      <w:spacing w:before="120" w:after="120"/>
    </w:pPr>
    <w:rPr>
      <w:rFonts w:cs="FreeSans"/>
      <w:i/>
      <w:iCs/>
      <w:sz w:val="24"/>
      <w:szCs w:val="24"/>
    </w:rPr>
  </w:style>
  <w:style w:type="paragraph" w:customStyle="1" w:styleId="Rejstk">
    <w:name w:val="Rejstřík"/>
    <w:basedOn w:val="Normln"/>
    <w:pPr>
      <w:suppressLineNumbers/>
    </w:pPr>
    <w:rPr>
      <w:rFonts w:cs="FreeSans"/>
    </w:rPr>
  </w:style>
  <w:style w:type="paragraph" w:styleId="Zhlav">
    <w:name w:val="header"/>
    <w:basedOn w:val="Normln"/>
    <w:link w:val="ZhlavChar"/>
    <w:uiPriority w:val="99"/>
    <w:unhideWhenUsed/>
    <w:rsid w:val="009C352F"/>
    <w:pPr>
      <w:tabs>
        <w:tab w:val="center" w:pos="4536"/>
        <w:tab w:val="right" w:pos="9072"/>
      </w:tabs>
      <w:spacing w:after="0" w:line="240" w:lineRule="auto"/>
    </w:pPr>
  </w:style>
  <w:style w:type="paragraph" w:styleId="Zpat">
    <w:name w:val="footer"/>
    <w:basedOn w:val="Normln"/>
    <w:link w:val="ZpatChar"/>
    <w:uiPriority w:val="99"/>
    <w:unhideWhenUsed/>
    <w:rsid w:val="009C352F"/>
    <w:pPr>
      <w:tabs>
        <w:tab w:val="center" w:pos="4536"/>
        <w:tab w:val="right" w:pos="9072"/>
      </w:tabs>
      <w:spacing w:after="0" w:line="240" w:lineRule="auto"/>
    </w:pPr>
  </w:style>
  <w:style w:type="paragraph" w:styleId="Textkomente">
    <w:name w:val="annotation text"/>
    <w:basedOn w:val="Normln"/>
    <w:link w:val="TextkomenteChar"/>
    <w:uiPriority w:val="99"/>
    <w:unhideWhenUsed/>
    <w:rsid w:val="00F042A6"/>
    <w:pPr>
      <w:spacing w:line="240" w:lineRule="auto"/>
    </w:pPr>
    <w:rPr>
      <w:sz w:val="20"/>
      <w:szCs w:val="20"/>
    </w:rPr>
  </w:style>
  <w:style w:type="paragraph" w:styleId="Pedmtkomente">
    <w:name w:val="annotation subject"/>
    <w:basedOn w:val="Textkomente"/>
    <w:link w:val="PedmtkomenteChar"/>
    <w:uiPriority w:val="99"/>
    <w:semiHidden/>
    <w:unhideWhenUsed/>
    <w:rsid w:val="00F042A6"/>
    <w:rPr>
      <w:b/>
      <w:bCs/>
    </w:rPr>
  </w:style>
  <w:style w:type="paragraph" w:styleId="Revize">
    <w:name w:val="Revision"/>
    <w:uiPriority w:val="99"/>
    <w:semiHidden/>
    <w:rsid w:val="00F042A6"/>
    <w:pPr>
      <w:suppressAutoHyphens/>
    </w:pPr>
    <w:rPr>
      <w:sz w:val="22"/>
      <w:szCs w:val="22"/>
      <w:lang w:eastAsia="en-US"/>
    </w:rPr>
  </w:style>
  <w:style w:type="paragraph" w:styleId="Textbubliny">
    <w:name w:val="Balloon Text"/>
    <w:basedOn w:val="Normln"/>
    <w:link w:val="TextbublinyChar"/>
    <w:uiPriority w:val="99"/>
    <w:semiHidden/>
    <w:unhideWhenUsed/>
    <w:rsid w:val="00F042A6"/>
    <w:pPr>
      <w:spacing w:after="0" w:line="240" w:lineRule="auto"/>
    </w:pPr>
    <w:rPr>
      <w:rFonts w:ascii="Tahoma" w:hAnsi="Tahoma" w:cs="Tahoma"/>
      <w:sz w:val="16"/>
      <w:szCs w:val="16"/>
    </w:rPr>
  </w:style>
  <w:style w:type="paragraph" w:styleId="Odstavecseseznamem">
    <w:name w:val="List Paragraph"/>
    <w:basedOn w:val="Normln"/>
    <w:uiPriority w:val="34"/>
    <w:qFormat/>
    <w:rsid w:val="00285FC4"/>
    <w:pPr>
      <w:ind w:left="720"/>
      <w:contextualSpacing/>
    </w:pPr>
  </w:style>
  <w:style w:type="paragraph" w:customStyle="1" w:styleId="CM1">
    <w:name w:val="CM1"/>
    <w:basedOn w:val="Normln"/>
    <w:uiPriority w:val="99"/>
    <w:rsid w:val="00560EDE"/>
    <w:pPr>
      <w:spacing w:after="0" w:line="240" w:lineRule="auto"/>
    </w:pPr>
    <w:rPr>
      <w:rFonts w:ascii="EUAlbertina" w:hAnsi="EUAlbertina"/>
      <w:sz w:val="24"/>
      <w:szCs w:val="24"/>
    </w:rPr>
  </w:style>
  <w:style w:type="paragraph" w:customStyle="1" w:styleId="CM3">
    <w:name w:val="CM3"/>
    <w:basedOn w:val="Normln"/>
    <w:uiPriority w:val="99"/>
    <w:rsid w:val="00560EDE"/>
    <w:pPr>
      <w:spacing w:after="0" w:line="240" w:lineRule="auto"/>
    </w:pPr>
    <w:rPr>
      <w:rFonts w:ascii="EUAlbertina" w:hAnsi="EUAlbertina"/>
      <w:sz w:val="24"/>
      <w:szCs w:val="24"/>
    </w:rPr>
  </w:style>
  <w:style w:type="paragraph" w:customStyle="1" w:styleId="CM4">
    <w:name w:val="CM4"/>
    <w:basedOn w:val="Normln"/>
    <w:uiPriority w:val="99"/>
    <w:rsid w:val="00560EDE"/>
    <w:pPr>
      <w:spacing w:after="0" w:line="240" w:lineRule="auto"/>
    </w:pPr>
    <w:rPr>
      <w:rFonts w:ascii="EUAlbertina" w:hAnsi="EUAlbertina"/>
      <w:sz w:val="24"/>
      <w:szCs w:val="24"/>
    </w:rPr>
  </w:style>
  <w:style w:type="paragraph" w:customStyle="1" w:styleId="Textzprvy">
    <w:name w:val="Text zprávy"/>
    <w:basedOn w:val="Normln"/>
    <w:link w:val="TextzprvyChar"/>
    <w:rsid w:val="00825029"/>
    <w:pPr>
      <w:spacing w:before="120" w:after="0" w:line="240" w:lineRule="auto"/>
      <w:contextualSpacing/>
      <w:jc w:val="both"/>
    </w:pPr>
    <w:rPr>
      <w:rFonts w:ascii="Bookman Old Style" w:eastAsia="Times New Roman" w:hAnsi="Bookman Old Style"/>
      <w:sz w:val="20"/>
      <w:szCs w:val="24"/>
      <w:lang w:eastAsia="cs-CZ"/>
    </w:rPr>
  </w:style>
  <w:style w:type="paragraph" w:customStyle="1" w:styleId="Default">
    <w:name w:val="Default"/>
    <w:rsid w:val="00E24F08"/>
    <w:pPr>
      <w:suppressAutoHyphens/>
    </w:pPr>
    <w:rPr>
      <w:rFonts w:ascii="Times New Roman" w:eastAsia="Calibri" w:hAnsi="Times New Roman"/>
      <w:color w:val="000000"/>
      <w:sz w:val="24"/>
      <w:szCs w:val="24"/>
      <w:lang w:eastAsia="en-US"/>
    </w:rPr>
  </w:style>
  <w:style w:type="paragraph" w:styleId="Textpoznpodarou">
    <w:name w:val="footnote text"/>
    <w:aliases w:val="Schriftart: 9 pt,Schriftart: 10 pt,Schriftart: 8 pt,pozn. pod čarou,Podrozdział,Footnote,Podrozdzia3"/>
    <w:basedOn w:val="Normln"/>
    <w:link w:val="TextpoznpodarouChar"/>
    <w:uiPriority w:val="99"/>
    <w:rsid w:val="00121EB3"/>
    <w:pPr>
      <w:spacing w:after="0" w:line="240" w:lineRule="auto"/>
    </w:pPr>
    <w:rPr>
      <w:rFonts w:eastAsia="Calibri"/>
      <w:sz w:val="20"/>
      <w:szCs w:val="20"/>
    </w:rPr>
  </w:style>
  <w:style w:type="paragraph" w:styleId="Titulek">
    <w:name w:val="caption"/>
    <w:basedOn w:val="Normln"/>
    <w:uiPriority w:val="35"/>
    <w:unhideWhenUsed/>
    <w:qFormat/>
    <w:rsid w:val="00FB760B"/>
    <w:pPr>
      <w:spacing w:line="240" w:lineRule="auto"/>
    </w:pPr>
    <w:rPr>
      <w:b/>
      <w:bCs/>
      <w:color w:val="4F81BD"/>
      <w:sz w:val="20"/>
      <w:szCs w:val="18"/>
    </w:rPr>
  </w:style>
  <w:style w:type="paragraph" w:customStyle="1" w:styleId="Poznmkapodarou">
    <w:name w:val="Poznámka pod čarou"/>
    <w:basedOn w:val="Normln"/>
  </w:style>
  <w:style w:type="table" w:styleId="Mkatabulky">
    <w:name w:val="Table Grid"/>
    <w:basedOn w:val="Normlntabulka"/>
    <w:uiPriority w:val="39"/>
    <w:rsid w:val="001C4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mka">
    <w:name w:val="Light Grid"/>
    <w:basedOn w:val="Normlntabulka"/>
    <w:uiPriority w:val="62"/>
    <w:rsid w:val="002870F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Hypertextovodkaz">
    <w:name w:val="Hyperlink"/>
    <w:uiPriority w:val="99"/>
    <w:unhideWhenUsed/>
    <w:rsid w:val="002870F0"/>
    <w:rPr>
      <w:color w:val="0000FF"/>
      <w:u w:val="single"/>
    </w:rPr>
  </w:style>
  <w:style w:type="character" w:styleId="Sledovanodkaz">
    <w:name w:val="FollowedHyperlink"/>
    <w:uiPriority w:val="99"/>
    <w:semiHidden/>
    <w:unhideWhenUsed/>
    <w:rsid w:val="0048131E"/>
    <w:rPr>
      <w:color w:val="800080"/>
      <w:u w:val="single"/>
    </w:rPr>
  </w:style>
  <w:style w:type="character" w:customStyle="1" w:styleId="Nadpis1Char">
    <w:name w:val="Nadpis 1 Char"/>
    <w:link w:val="Nadpis1"/>
    <w:uiPriority w:val="9"/>
    <w:rsid w:val="00444A20"/>
    <w:rPr>
      <w:rFonts w:eastAsia="Calibri"/>
      <w:b/>
      <w:sz w:val="28"/>
      <w:szCs w:val="22"/>
      <w:lang w:eastAsia="en-US"/>
    </w:rPr>
  </w:style>
  <w:style w:type="character" w:customStyle="1" w:styleId="Nadpis2Char">
    <w:name w:val="Nadpis 2 Char"/>
    <w:link w:val="Nadpis2"/>
    <w:uiPriority w:val="9"/>
    <w:rsid w:val="00FB72D0"/>
    <w:rPr>
      <w:b/>
      <w:sz w:val="24"/>
      <w:szCs w:val="22"/>
      <w:shd w:val="clear" w:color="auto" w:fill="FFFFFF"/>
      <w:lang w:eastAsia="en-US"/>
    </w:rPr>
  </w:style>
  <w:style w:type="paragraph" w:styleId="Bezmezer">
    <w:name w:val="No Spacing"/>
    <w:aliases w:val="Hlavní písmo"/>
    <w:basedOn w:val="Normln"/>
    <w:link w:val="BezmezerChar"/>
    <w:uiPriority w:val="1"/>
    <w:qFormat/>
    <w:rsid w:val="005A0C23"/>
    <w:pPr>
      <w:spacing w:before="80"/>
      <w:jc w:val="both"/>
    </w:pPr>
  </w:style>
  <w:style w:type="paragraph" w:customStyle="1" w:styleId="CM41">
    <w:name w:val="CM4+1"/>
    <w:basedOn w:val="Default"/>
    <w:next w:val="Default"/>
    <w:uiPriority w:val="99"/>
    <w:rsid w:val="001E7EB0"/>
    <w:pPr>
      <w:suppressAutoHyphens w:val="0"/>
      <w:autoSpaceDE w:val="0"/>
      <w:autoSpaceDN w:val="0"/>
      <w:adjustRightInd w:val="0"/>
    </w:pPr>
    <w:rPr>
      <w:rFonts w:ascii="EUAlbertina" w:eastAsia="Droid Sans Fallback" w:hAnsi="EUAlbertina"/>
      <w:color w:val="auto"/>
    </w:rPr>
  </w:style>
  <w:style w:type="paragraph" w:styleId="Podnadpis">
    <w:name w:val="Subtitle"/>
    <w:basedOn w:val="CM4"/>
    <w:next w:val="Normln"/>
    <w:link w:val="PodnadpisChar"/>
    <w:uiPriority w:val="11"/>
    <w:qFormat/>
    <w:rsid w:val="009957B0"/>
    <w:pPr>
      <w:shd w:val="clear" w:color="auto" w:fill="D9D9D9"/>
      <w:spacing w:before="120" w:after="120" w:line="276" w:lineRule="auto"/>
      <w:jc w:val="both"/>
    </w:pPr>
    <w:rPr>
      <w:rFonts w:ascii="Calibri" w:hAnsi="Calibri"/>
      <w:i/>
      <w:sz w:val="22"/>
      <w:szCs w:val="22"/>
    </w:rPr>
  </w:style>
  <w:style w:type="character" w:customStyle="1" w:styleId="PodnadpisChar">
    <w:name w:val="Podnadpis Char"/>
    <w:link w:val="Podnadpis"/>
    <w:uiPriority w:val="11"/>
    <w:rsid w:val="009957B0"/>
    <w:rPr>
      <w:i/>
      <w:shd w:val="clear" w:color="auto" w:fill="D9D9D9"/>
    </w:rPr>
  </w:style>
  <w:style w:type="character" w:customStyle="1" w:styleId="Nadpis3Char">
    <w:name w:val="Nadpis 3 Char"/>
    <w:link w:val="Nadpis3"/>
    <w:uiPriority w:val="9"/>
    <w:rsid w:val="00601874"/>
    <w:rPr>
      <w:b/>
      <w:sz w:val="22"/>
      <w:szCs w:val="22"/>
      <w:shd w:val="clear" w:color="auto" w:fill="FFFFFF" w:themeFill="background1"/>
      <w:lang w:eastAsia="en-US"/>
    </w:rPr>
  </w:style>
  <w:style w:type="character" w:styleId="Zdraznnjemn">
    <w:name w:val="Subtle Emphasis"/>
    <w:uiPriority w:val="19"/>
    <w:qFormat/>
    <w:rsid w:val="00174ED8"/>
    <w:rPr>
      <w:b/>
    </w:rPr>
  </w:style>
  <w:style w:type="paragraph" w:styleId="Normlnweb">
    <w:name w:val="Normal (Web)"/>
    <w:basedOn w:val="Normln"/>
    <w:uiPriority w:val="99"/>
    <w:semiHidden/>
    <w:unhideWhenUsed/>
    <w:rsid w:val="0044021B"/>
    <w:pPr>
      <w:suppressAutoHyphens w:val="0"/>
      <w:spacing w:before="100" w:beforeAutospacing="1" w:after="100" w:afterAutospacing="1" w:line="240" w:lineRule="auto"/>
    </w:pPr>
    <w:rPr>
      <w:rFonts w:ascii="Times New Roman" w:eastAsia="Times New Roman" w:hAnsi="Times New Roman"/>
      <w:sz w:val="24"/>
      <w:szCs w:val="24"/>
      <w:lang w:eastAsia="cs-CZ"/>
    </w:rPr>
  </w:style>
  <w:style w:type="character" w:styleId="Zdraznnintenzivn">
    <w:name w:val="Intense Emphasis"/>
    <w:uiPriority w:val="21"/>
    <w:qFormat/>
    <w:rsid w:val="009939CB"/>
    <w:rPr>
      <w:rFonts w:ascii="Calibri" w:hAnsi="Calibri"/>
      <w:b/>
      <w:color w:val="1F497D"/>
      <w:sz w:val="22"/>
      <w:lang w:eastAsia="cs-CZ"/>
    </w:rPr>
  </w:style>
  <w:style w:type="paragraph" w:styleId="Nzev">
    <w:name w:val="Title"/>
    <w:basedOn w:val="Normln"/>
    <w:next w:val="Normln"/>
    <w:link w:val="NzevChar"/>
    <w:uiPriority w:val="10"/>
    <w:qFormat/>
    <w:rsid w:val="00320877"/>
    <w:pPr>
      <w:pBdr>
        <w:top w:val="single" w:sz="4" w:space="5" w:color="auto"/>
        <w:left w:val="single" w:sz="4" w:space="5" w:color="auto"/>
        <w:bottom w:val="single" w:sz="4" w:space="5" w:color="auto"/>
        <w:right w:val="single" w:sz="4" w:space="5" w:color="auto"/>
      </w:pBdr>
      <w:shd w:val="clear" w:color="auto" w:fill="C6D9F1"/>
      <w:spacing w:before="120" w:after="120" w:line="240" w:lineRule="auto"/>
      <w:jc w:val="center"/>
    </w:pPr>
    <w:rPr>
      <w:b/>
      <w:sz w:val="32"/>
    </w:rPr>
  </w:style>
  <w:style w:type="character" w:customStyle="1" w:styleId="NzevChar">
    <w:name w:val="Název Char"/>
    <w:link w:val="Nzev"/>
    <w:uiPriority w:val="10"/>
    <w:rsid w:val="00320877"/>
    <w:rPr>
      <w:b/>
      <w:sz w:val="32"/>
      <w:shd w:val="clear" w:color="auto" w:fill="C6D9F1"/>
    </w:rPr>
  </w:style>
  <w:style w:type="paragraph" w:styleId="Vrazncitt">
    <w:name w:val="Intense Quote"/>
    <w:basedOn w:val="Default"/>
    <w:next w:val="Normln"/>
    <w:link w:val="VrazncittChar"/>
    <w:uiPriority w:val="30"/>
    <w:qFormat/>
    <w:rsid w:val="00E95294"/>
    <w:pPr>
      <w:suppressAutoHyphens w:val="0"/>
      <w:autoSpaceDE w:val="0"/>
      <w:autoSpaceDN w:val="0"/>
      <w:adjustRightInd w:val="0"/>
      <w:spacing w:before="360" w:after="120" w:line="276" w:lineRule="auto"/>
      <w:jc w:val="both"/>
    </w:pPr>
  </w:style>
  <w:style w:type="character" w:customStyle="1" w:styleId="VrazncittChar">
    <w:name w:val="Výrazný citát Char"/>
    <w:link w:val="Vrazncitt"/>
    <w:uiPriority w:val="30"/>
    <w:rsid w:val="00E95294"/>
    <w:rPr>
      <w:rFonts w:ascii="Times New Roman" w:eastAsia="Calibri" w:hAnsi="Times New Roman"/>
      <w:color w:val="000000"/>
      <w:sz w:val="24"/>
      <w:szCs w:val="24"/>
    </w:rPr>
  </w:style>
  <w:style w:type="character" w:styleId="Siln">
    <w:name w:val="Strong"/>
    <w:uiPriority w:val="22"/>
    <w:qFormat/>
    <w:rsid w:val="003C55C6"/>
    <w:rPr>
      <w:rFonts w:ascii="Calibri" w:hAnsi="Calibri"/>
      <w:b/>
      <w:i/>
      <w:color w:val="76923C"/>
      <w:sz w:val="22"/>
    </w:rPr>
  </w:style>
  <w:style w:type="paragraph" w:customStyle="1" w:styleId="Odsazeni">
    <w:name w:val="Odsazeni"/>
    <w:basedOn w:val="Bezmezer"/>
    <w:link w:val="OdsazeniChar"/>
    <w:qFormat/>
    <w:rsid w:val="0010218C"/>
    <w:pPr>
      <w:spacing w:before="40" w:after="120"/>
      <w:ind w:left="567" w:hanging="567"/>
    </w:pPr>
  </w:style>
  <w:style w:type="character" w:customStyle="1" w:styleId="BezmezerChar">
    <w:name w:val="Bez mezer Char"/>
    <w:aliases w:val="Hlavní písmo Char"/>
    <w:basedOn w:val="Standardnpsmoodstavce"/>
    <w:link w:val="Bezmezer"/>
    <w:uiPriority w:val="1"/>
    <w:rsid w:val="005A0C23"/>
  </w:style>
  <w:style w:type="character" w:customStyle="1" w:styleId="OdsazeniChar">
    <w:name w:val="Odsazeni Char"/>
    <w:basedOn w:val="BezmezerChar"/>
    <w:link w:val="Odsazeni"/>
    <w:rsid w:val="0010218C"/>
  </w:style>
  <w:style w:type="paragraph" w:styleId="Citt">
    <w:name w:val="Quote"/>
    <w:aliases w:val="Pozn. pod čarou"/>
    <w:basedOn w:val="Textpoznpodarou"/>
    <w:next w:val="Normln"/>
    <w:link w:val="CittChar"/>
    <w:uiPriority w:val="29"/>
    <w:qFormat/>
    <w:rsid w:val="00D012D3"/>
    <w:pPr>
      <w:ind w:left="284" w:hanging="284"/>
      <w:jc w:val="both"/>
    </w:pPr>
    <w:rPr>
      <w:sz w:val="18"/>
    </w:rPr>
  </w:style>
  <w:style w:type="character" w:customStyle="1" w:styleId="CittChar">
    <w:name w:val="Citát Char"/>
    <w:aliases w:val="Pozn. pod čarou Char"/>
    <w:link w:val="Citt"/>
    <w:uiPriority w:val="29"/>
    <w:rsid w:val="00D012D3"/>
    <w:rPr>
      <w:rFonts w:eastAsia="Calibri"/>
      <w:sz w:val="18"/>
      <w:szCs w:val="20"/>
    </w:rPr>
  </w:style>
  <w:style w:type="paragraph" w:styleId="Zkladntext">
    <w:name w:val="Body Text"/>
    <w:basedOn w:val="Default"/>
    <w:next w:val="Default"/>
    <w:link w:val="ZkladntextChar"/>
    <w:uiPriority w:val="99"/>
    <w:rsid w:val="001A5E0D"/>
    <w:pPr>
      <w:suppressAutoHyphens w:val="0"/>
      <w:autoSpaceDE w:val="0"/>
      <w:autoSpaceDN w:val="0"/>
      <w:adjustRightInd w:val="0"/>
    </w:pPr>
    <w:rPr>
      <w:color w:val="auto"/>
    </w:rPr>
  </w:style>
  <w:style w:type="character" w:customStyle="1" w:styleId="ZkladntextChar">
    <w:name w:val="Základní text Char"/>
    <w:link w:val="Zkladntext"/>
    <w:uiPriority w:val="99"/>
    <w:rsid w:val="001A5E0D"/>
    <w:rPr>
      <w:rFonts w:ascii="Times New Roman" w:eastAsia="Calibri" w:hAnsi="Times New Roman"/>
      <w:sz w:val="24"/>
      <w:szCs w:val="24"/>
    </w:rPr>
  </w:style>
  <w:style w:type="character" w:customStyle="1" w:styleId="Nadpis4Char">
    <w:name w:val="Nadpis 4 Char"/>
    <w:link w:val="Nadpis4"/>
    <w:uiPriority w:val="9"/>
    <w:rsid w:val="0063401E"/>
    <w:rPr>
      <w:b/>
      <w:sz w:val="24"/>
      <w:szCs w:val="22"/>
      <w:shd w:val="clear" w:color="auto" w:fill="DBE5F1"/>
      <w:lang w:eastAsia="en-US"/>
    </w:rPr>
  </w:style>
  <w:style w:type="character" w:customStyle="1" w:styleId="Nadpis5Char">
    <w:name w:val="Nadpis 5 Char"/>
    <w:link w:val="Nadpis5"/>
    <w:uiPriority w:val="9"/>
    <w:rsid w:val="003225E1"/>
    <w:rPr>
      <w:b/>
      <w:sz w:val="24"/>
      <w:szCs w:val="22"/>
      <w:shd w:val="clear" w:color="auto" w:fill="FFFFFF"/>
      <w:lang w:eastAsia="en-US"/>
    </w:rPr>
  </w:style>
  <w:style w:type="character" w:customStyle="1" w:styleId="Nadpis6Char">
    <w:name w:val="Nadpis 6 Char"/>
    <w:link w:val="Nadpis6"/>
    <w:uiPriority w:val="9"/>
    <w:rsid w:val="00D03149"/>
    <w:rPr>
      <w:rFonts w:ascii="Cambria" w:eastAsia="Times New Roman" w:hAnsi="Cambria"/>
      <w:b/>
      <w:iCs/>
      <w:color w:val="000000"/>
      <w:sz w:val="24"/>
      <w:szCs w:val="22"/>
      <w:shd w:val="clear" w:color="auto" w:fill="FFFFFF"/>
      <w:lang w:eastAsia="en-US"/>
    </w:rPr>
  </w:style>
  <w:style w:type="character" w:customStyle="1" w:styleId="Nadpis7Char">
    <w:name w:val="Nadpis 7 Char"/>
    <w:link w:val="Nadpis7"/>
    <w:uiPriority w:val="9"/>
    <w:rsid w:val="00D03149"/>
    <w:rPr>
      <w:b/>
      <w:sz w:val="24"/>
      <w:szCs w:val="22"/>
      <w:shd w:val="clear" w:color="auto" w:fill="FFFFFF"/>
      <w:lang w:eastAsia="en-US"/>
    </w:rPr>
  </w:style>
  <w:style w:type="paragraph" w:styleId="Seznamobrzk">
    <w:name w:val="table of figures"/>
    <w:basedOn w:val="Normln"/>
    <w:next w:val="Normln"/>
    <w:uiPriority w:val="99"/>
    <w:unhideWhenUsed/>
    <w:rsid w:val="00DC3177"/>
    <w:pPr>
      <w:spacing w:after="0"/>
    </w:pPr>
  </w:style>
  <w:style w:type="table" w:customStyle="1" w:styleId="Mkatabulky1">
    <w:name w:val="Mřížka tabulky1"/>
    <w:basedOn w:val="Normlntabulka"/>
    <w:next w:val="Mkatabulky"/>
    <w:uiPriority w:val="59"/>
    <w:rsid w:val="00EA298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2">
    <w:name w:val="email2"/>
    <w:rsid w:val="004645E4"/>
    <w:rPr>
      <w:shd w:val="clear" w:color="auto" w:fill="auto"/>
    </w:rPr>
  </w:style>
  <w:style w:type="paragraph" w:customStyle="1" w:styleId="doc-ti">
    <w:name w:val="doc-ti"/>
    <w:basedOn w:val="Normln"/>
    <w:uiPriority w:val="99"/>
    <w:rsid w:val="008F7058"/>
    <w:pPr>
      <w:suppressAutoHyphens w:val="0"/>
      <w:spacing w:before="240" w:after="120" w:line="240" w:lineRule="auto"/>
      <w:jc w:val="center"/>
    </w:pPr>
    <w:rPr>
      <w:rFonts w:ascii="Times New Roman" w:eastAsia="Times New Roman" w:hAnsi="Times New Roman"/>
      <w:b/>
      <w:bCs/>
      <w:sz w:val="24"/>
      <w:szCs w:val="24"/>
      <w:lang w:eastAsia="cs-CZ"/>
    </w:rPr>
  </w:style>
  <w:style w:type="character" w:styleId="CittHTML">
    <w:name w:val="HTML Cite"/>
    <w:uiPriority w:val="99"/>
    <w:semiHidden/>
    <w:unhideWhenUsed/>
    <w:rsid w:val="00FF03C9"/>
    <w:rPr>
      <w:i/>
      <w:iCs/>
    </w:rPr>
  </w:style>
  <w:style w:type="paragraph" w:customStyle="1" w:styleId="CM11">
    <w:name w:val="CM1+1"/>
    <w:basedOn w:val="Default"/>
    <w:next w:val="Default"/>
    <w:uiPriority w:val="99"/>
    <w:rsid w:val="00FF03C9"/>
    <w:pPr>
      <w:suppressAutoHyphens w:val="0"/>
      <w:autoSpaceDE w:val="0"/>
      <w:autoSpaceDN w:val="0"/>
      <w:adjustRightInd w:val="0"/>
    </w:pPr>
    <w:rPr>
      <w:rFonts w:ascii="EUAlbertina" w:eastAsia="Droid Sans Fallback" w:hAnsi="EUAlbertina"/>
      <w:color w:val="auto"/>
    </w:rPr>
  </w:style>
  <w:style w:type="paragraph" w:styleId="Prosttext">
    <w:name w:val="Plain Text"/>
    <w:basedOn w:val="Normln"/>
    <w:link w:val="ProsttextChar"/>
    <w:uiPriority w:val="99"/>
    <w:unhideWhenUsed/>
    <w:rsid w:val="00FF03C9"/>
    <w:pPr>
      <w:suppressAutoHyphens w:val="0"/>
      <w:spacing w:after="0" w:line="240" w:lineRule="auto"/>
    </w:pPr>
    <w:rPr>
      <w:rFonts w:eastAsia="Calibri"/>
      <w:szCs w:val="21"/>
    </w:rPr>
  </w:style>
  <w:style w:type="character" w:customStyle="1" w:styleId="ProsttextChar">
    <w:name w:val="Prostý text Char"/>
    <w:link w:val="Prosttext"/>
    <w:uiPriority w:val="99"/>
    <w:rsid w:val="00FF03C9"/>
    <w:rPr>
      <w:rFonts w:eastAsia="Calibri" w:cs="Times New Roman"/>
      <w:szCs w:val="21"/>
    </w:rPr>
  </w:style>
  <w:style w:type="paragraph" w:styleId="Textvysvtlivek">
    <w:name w:val="endnote text"/>
    <w:basedOn w:val="Normln"/>
    <w:link w:val="TextvysvtlivekChar"/>
    <w:uiPriority w:val="99"/>
    <w:semiHidden/>
    <w:unhideWhenUsed/>
    <w:rsid w:val="00AE47EA"/>
    <w:pPr>
      <w:spacing w:after="0" w:line="240" w:lineRule="auto"/>
    </w:pPr>
    <w:rPr>
      <w:sz w:val="20"/>
      <w:szCs w:val="20"/>
    </w:rPr>
  </w:style>
  <w:style w:type="character" w:customStyle="1" w:styleId="TextvysvtlivekChar">
    <w:name w:val="Text vysvětlivek Char"/>
    <w:link w:val="Textvysvtlivek"/>
    <w:uiPriority w:val="99"/>
    <w:semiHidden/>
    <w:rsid w:val="00AE47EA"/>
    <w:rPr>
      <w:sz w:val="20"/>
      <w:szCs w:val="20"/>
    </w:rPr>
  </w:style>
  <w:style w:type="character" w:styleId="Odkaznavysvtlivky">
    <w:name w:val="endnote reference"/>
    <w:uiPriority w:val="99"/>
    <w:semiHidden/>
    <w:unhideWhenUsed/>
    <w:rsid w:val="00AE47EA"/>
    <w:rPr>
      <w:vertAlign w:val="superscript"/>
    </w:rPr>
  </w:style>
  <w:style w:type="paragraph" w:styleId="Nadpisobsahu">
    <w:name w:val="TOC Heading"/>
    <w:basedOn w:val="Nadpis1"/>
    <w:next w:val="Normln"/>
    <w:uiPriority w:val="39"/>
    <w:unhideWhenUsed/>
    <w:qFormat/>
    <w:rsid w:val="003525AC"/>
    <w:pPr>
      <w:numPr>
        <w:numId w:val="0"/>
      </w:numPr>
      <w:spacing w:before="480" w:after="0" w:line="276" w:lineRule="auto"/>
      <w:outlineLvl w:val="9"/>
    </w:pPr>
    <w:rPr>
      <w:rFonts w:ascii="Cambria" w:eastAsia="Times New Roman" w:hAnsi="Cambria"/>
      <w:bCs/>
      <w:color w:val="365F91"/>
      <w:szCs w:val="28"/>
      <w:lang w:eastAsia="cs-CZ"/>
    </w:rPr>
  </w:style>
  <w:style w:type="paragraph" w:styleId="Obsah1">
    <w:name w:val="toc 1"/>
    <w:basedOn w:val="Normln"/>
    <w:next w:val="Normln"/>
    <w:autoRedefine/>
    <w:uiPriority w:val="39"/>
    <w:unhideWhenUsed/>
    <w:rsid w:val="003525AC"/>
    <w:pPr>
      <w:spacing w:after="100"/>
    </w:pPr>
  </w:style>
  <w:style w:type="paragraph" w:styleId="Obsah2">
    <w:name w:val="toc 2"/>
    <w:basedOn w:val="Normln"/>
    <w:next w:val="Normln"/>
    <w:autoRedefine/>
    <w:uiPriority w:val="39"/>
    <w:unhideWhenUsed/>
    <w:rsid w:val="003525AC"/>
    <w:pPr>
      <w:spacing w:after="100"/>
      <w:ind w:left="220"/>
    </w:pPr>
  </w:style>
  <w:style w:type="paragraph" w:styleId="Obsah3">
    <w:name w:val="toc 3"/>
    <w:basedOn w:val="Normln"/>
    <w:next w:val="Normln"/>
    <w:autoRedefine/>
    <w:uiPriority w:val="39"/>
    <w:unhideWhenUsed/>
    <w:rsid w:val="003525AC"/>
    <w:pPr>
      <w:spacing w:after="100"/>
      <w:ind w:left="440"/>
    </w:pPr>
  </w:style>
  <w:style w:type="paragraph" w:customStyle="1" w:styleId="CM12">
    <w:name w:val="CM1+2"/>
    <w:basedOn w:val="Default"/>
    <w:next w:val="Default"/>
    <w:uiPriority w:val="99"/>
    <w:rsid w:val="00F85381"/>
    <w:pPr>
      <w:suppressAutoHyphens w:val="0"/>
      <w:autoSpaceDE w:val="0"/>
      <w:autoSpaceDN w:val="0"/>
      <w:adjustRightInd w:val="0"/>
    </w:pPr>
    <w:rPr>
      <w:rFonts w:ascii="EUAlbertina" w:eastAsia="Droid Sans Fallback" w:hAnsi="EUAlbertina"/>
      <w:color w:val="auto"/>
    </w:rPr>
  </w:style>
  <w:style w:type="paragraph" w:customStyle="1" w:styleId="CM32">
    <w:name w:val="CM3+2"/>
    <w:basedOn w:val="Default"/>
    <w:next w:val="Default"/>
    <w:uiPriority w:val="99"/>
    <w:rsid w:val="00F85381"/>
    <w:pPr>
      <w:suppressAutoHyphens w:val="0"/>
      <w:autoSpaceDE w:val="0"/>
      <w:autoSpaceDN w:val="0"/>
      <w:adjustRightInd w:val="0"/>
    </w:pPr>
    <w:rPr>
      <w:rFonts w:ascii="EUAlbertina" w:eastAsia="Droid Sans Fallback" w:hAnsi="EUAlbertina"/>
      <w:color w:val="auto"/>
    </w:rPr>
  </w:style>
  <w:style w:type="paragraph" w:customStyle="1" w:styleId="CM31">
    <w:name w:val="CM3+1"/>
    <w:basedOn w:val="Default"/>
    <w:next w:val="Default"/>
    <w:uiPriority w:val="99"/>
    <w:rsid w:val="001B4CD4"/>
    <w:pPr>
      <w:suppressAutoHyphens w:val="0"/>
      <w:autoSpaceDE w:val="0"/>
      <w:autoSpaceDN w:val="0"/>
      <w:adjustRightInd w:val="0"/>
    </w:pPr>
    <w:rPr>
      <w:rFonts w:ascii="EUAlbertina" w:eastAsia="Droid Sans Fallback" w:hAnsi="EUAlbertina"/>
      <w:color w:val="auto"/>
    </w:rPr>
  </w:style>
  <w:style w:type="paragraph" w:customStyle="1" w:styleId="Hlavnitext">
    <w:name w:val="Hlavni_text"/>
    <w:basedOn w:val="Normln"/>
    <w:link w:val="HlavnitextChar"/>
    <w:qFormat/>
    <w:rsid w:val="006266F2"/>
    <w:pPr>
      <w:tabs>
        <w:tab w:val="left" w:pos="1037"/>
      </w:tabs>
      <w:suppressAutoHyphens w:val="0"/>
      <w:spacing w:before="120" w:after="120"/>
      <w:jc w:val="both"/>
    </w:pPr>
    <w:rPr>
      <w:rFonts w:asciiTheme="minorHAnsi" w:eastAsiaTheme="minorHAnsi" w:hAnsiTheme="minorHAnsi" w:cs="Arial"/>
      <w:bCs/>
      <w:szCs w:val="20"/>
      <w:lang w:eastAsia="cs-CZ"/>
    </w:rPr>
  </w:style>
  <w:style w:type="character" w:customStyle="1" w:styleId="HlavnitextChar">
    <w:name w:val="Hlavni_text Char"/>
    <w:basedOn w:val="Standardnpsmoodstavce"/>
    <w:link w:val="Hlavnitext"/>
    <w:rsid w:val="006266F2"/>
    <w:rPr>
      <w:rFonts w:asciiTheme="minorHAnsi" w:eastAsiaTheme="minorHAnsi" w:hAnsiTheme="minorHAnsi" w:cs="Arial"/>
      <w:bCs/>
      <w:sz w:val="22"/>
    </w:rPr>
  </w:style>
  <w:style w:type="character" w:styleId="Zstupntext">
    <w:name w:val="Placeholder Text"/>
    <w:basedOn w:val="Standardnpsmoodstavce"/>
    <w:uiPriority w:val="99"/>
    <w:semiHidden/>
    <w:rsid w:val="00C24D42"/>
    <w:rPr>
      <w:color w:val="808080"/>
    </w:rPr>
  </w:style>
  <w:style w:type="character" w:customStyle="1" w:styleId="Nadpis8Char">
    <w:name w:val="Nadpis 8 Char"/>
    <w:basedOn w:val="Standardnpsmoodstavce"/>
    <w:link w:val="Nadpis8"/>
    <w:uiPriority w:val="9"/>
    <w:semiHidden/>
    <w:rsid w:val="00115A73"/>
    <w:rPr>
      <w:rFonts w:asciiTheme="majorHAnsi" w:eastAsiaTheme="majorEastAsia" w:hAnsiTheme="majorHAnsi" w:cstheme="majorBidi"/>
      <w:color w:val="404040" w:themeColor="text1" w:themeTint="BF"/>
      <w:lang w:eastAsia="en-US"/>
    </w:rPr>
  </w:style>
  <w:style w:type="character" w:customStyle="1" w:styleId="Nadpis9Char">
    <w:name w:val="Nadpis 9 Char"/>
    <w:basedOn w:val="Standardnpsmoodstavce"/>
    <w:link w:val="Nadpis9"/>
    <w:uiPriority w:val="9"/>
    <w:semiHidden/>
    <w:rsid w:val="00115A73"/>
    <w:rPr>
      <w:rFonts w:asciiTheme="majorHAnsi" w:eastAsiaTheme="majorEastAsia" w:hAnsiTheme="majorHAnsi" w:cstheme="majorBidi"/>
      <w:i/>
      <w:iCs/>
      <w:color w:val="404040" w:themeColor="text1" w:themeTint="BF"/>
      <w:lang w:eastAsia="en-US"/>
    </w:rPr>
  </w:style>
  <w:style w:type="character" w:customStyle="1" w:styleId="st">
    <w:name w:val="st"/>
    <w:basedOn w:val="Standardnpsmoodstavce"/>
    <w:rsid w:val="0061166C"/>
  </w:style>
  <w:style w:type="character" w:styleId="Zdraznn">
    <w:name w:val="Emphasis"/>
    <w:basedOn w:val="Standardnpsmoodstavce"/>
    <w:qFormat/>
    <w:rsid w:val="00FA1557"/>
    <w:rPr>
      <w:i/>
      <w:iCs/>
    </w:rPr>
  </w:style>
  <w:style w:type="paragraph" w:customStyle="1" w:styleId="nadpiszkona">
    <w:name w:val="nadpis zákona"/>
    <w:basedOn w:val="Normln"/>
    <w:next w:val="Normln"/>
    <w:rsid w:val="000F6072"/>
    <w:pPr>
      <w:keepNext/>
      <w:keepLines/>
      <w:suppressAutoHyphens w:val="0"/>
      <w:spacing w:before="120" w:after="0" w:line="240" w:lineRule="auto"/>
      <w:jc w:val="center"/>
      <w:outlineLvl w:val="0"/>
    </w:pPr>
    <w:rPr>
      <w:rFonts w:ascii="Times New Roman" w:eastAsia="Times New Roman" w:hAnsi="Times New Roman"/>
      <w:b/>
      <w:sz w:val="24"/>
      <w:szCs w:val="20"/>
      <w:lang w:eastAsia="cs-CZ"/>
    </w:rPr>
  </w:style>
  <w:style w:type="paragraph" w:customStyle="1" w:styleId="NADPISSTI">
    <w:name w:val="NADPIS ČÁSTI"/>
    <w:basedOn w:val="Normln"/>
    <w:next w:val="Normln"/>
    <w:rsid w:val="000F6072"/>
    <w:pPr>
      <w:keepNext/>
      <w:keepLines/>
      <w:suppressAutoHyphens w:val="0"/>
      <w:spacing w:after="0" w:line="240" w:lineRule="auto"/>
      <w:jc w:val="center"/>
      <w:outlineLvl w:val="1"/>
    </w:pPr>
    <w:rPr>
      <w:rFonts w:ascii="Times New Roman" w:eastAsia="Times New Roman" w:hAnsi="Times New Roman"/>
      <w:b/>
      <w:sz w:val="24"/>
      <w:szCs w:val="20"/>
      <w:lang w:eastAsia="cs-CZ"/>
    </w:rPr>
  </w:style>
  <w:style w:type="paragraph" w:customStyle="1" w:styleId="Nadpishlavy">
    <w:name w:val="Nadpis hlavy"/>
    <w:basedOn w:val="Normln"/>
    <w:next w:val="Normln"/>
    <w:rsid w:val="000F6072"/>
    <w:pPr>
      <w:keepNext/>
      <w:keepLines/>
      <w:suppressAutoHyphens w:val="0"/>
      <w:spacing w:after="0" w:line="240" w:lineRule="auto"/>
      <w:jc w:val="center"/>
      <w:outlineLvl w:val="2"/>
    </w:pPr>
    <w:rPr>
      <w:rFonts w:ascii="Times New Roman" w:eastAsia="Times New Roman" w:hAnsi="Times New Roman"/>
      <w:b/>
      <w:sz w:val="24"/>
      <w:szCs w:val="20"/>
      <w:lang w:eastAsia="cs-CZ"/>
    </w:rPr>
  </w:style>
  <w:style w:type="paragraph" w:customStyle="1" w:styleId="Nadpisdlu">
    <w:name w:val="Nadpis dílu"/>
    <w:basedOn w:val="Normln"/>
    <w:next w:val="Normln"/>
    <w:rsid w:val="000F6072"/>
    <w:pPr>
      <w:keepNext/>
      <w:keepLines/>
      <w:suppressAutoHyphens w:val="0"/>
      <w:spacing w:after="0" w:line="240" w:lineRule="auto"/>
      <w:jc w:val="center"/>
      <w:outlineLvl w:val="3"/>
    </w:pPr>
    <w:rPr>
      <w:rFonts w:ascii="Times New Roman" w:eastAsia="Times New Roman" w:hAnsi="Times New Roman"/>
      <w:b/>
      <w:sz w:val="24"/>
      <w:szCs w:val="20"/>
      <w:lang w:eastAsia="cs-CZ"/>
    </w:rPr>
  </w:style>
  <w:style w:type="paragraph" w:customStyle="1" w:styleId="Nadpisoddlu">
    <w:name w:val="Nadpis oddílu"/>
    <w:basedOn w:val="Normln"/>
    <w:next w:val="Normln"/>
    <w:rsid w:val="000F6072"/>
    <w:pPr>
      <w:keepNext/>
      <w:keepLines/>
      <w:suppressAutoHyphens w:val="0"/>
      <w:spacing w:after="0" w:line="240" w:lineRule="auto"/>
      <w:jc w:val="center"/>
      <w:outlineLvl w:val="4"/>
    </w:pPr>
    <w:rPr>
      <w:rFonts w:ascii="Times New Roman" w:eastAsia="Times New Roman" w:hAnsi="Times New Roman"/>
      <w:b/>
      <w:sz w:val="24"/>
      <w:szCs w:val="20"/>
      <w:lang w:eastAsia="cs-CZ"/>
    </w:rPr>
  </w:style>
  <w:style w:type="paragraph" w:customStyle="1" w:styleId="Nadpisparagrafu">
    <w:name w:val="Nadpis paragrafu"/>
    <w:basedOn w:val="Normln"/>
    <w:next w:val="Normln"/>
    <w:rsid w:val="000F6072"/>
    <w:pPr>
      <w:keepNext/>
      <w:keepLines/>
      <w:suppressAutoHyphens w:val="0"/>
      <w:spacing w:before="240" w:after="0" w:line="240" w:lineRule="auto"/>
      <w:jc w:val="center"/>
      <w:outlineLvl w:val="5"/>
    </w:pPr>
    <w:rPr>
      <w:rFonts w:ascii="Times New Roman" w:eastAsia="Times New Roman" w:hAnsi="Times New Roman"/>
      <w:b/>
      <w:sz w:val="24"/>
      <w:szCs w:val="20"/>
      <w:lang w:eastAsia="cs-CZ"/>
    </w:rPr>
  </w:style>
  <w:style w:type="paragraph" w:customStyle="1" w:styleId="Parlament">
    <w:name w:val="Parlament"/>
    <w:basedOn w:val="Normln"/>
    <w:next w:val="Normln"/>
    <w:rsid w:val="000F6072"/>
    <w:pPr>
      <w:keepNext/>
      <w:keepLines/>
      <w:suppressAutoHyphens w:val="0"/>
      <w:spacing w:before="360" w:after="240" w:line="240" w:lineRule="auto"/>
      <w:jc w:val="both"/>
    </w:pPr>
    <w:rPr>
      <w:rFonts w:ascii="Times New Roman" w:eastAsia="Times New Roman" w:hAnsi="Times New Roman"/>
      <w:sz w:val="24"/>
      <w:szCs w:val="20"/>
      <w:lang w:eastAsia="cs-CZ"/>
    </w:rPr>
  </w:style>
  <w:style w:type="paragraph" w:customStyle="1" w:styleId="Textbodu">
    <w:name w:val="Text bodu"/>
    <w:basedOn w:val="Normln"/>
    <w:rsid w:val="000F6072"/>
    <w:pPr>
      <w:numPr>
        <w:ilvl w:val="2"/>
        <w:numId w:val="3"/>
      </w:numPr>
      <w:suppressAutoHyphens w:val="0"/>
      <w:spacing w:after="0" w:line="240" w:lineRule="auto"/>
      <w:jc w:val="both"/>
      <w:outlineLvl w:val="8"/>
    </w:pPr>
    <w:rPr>
      <w:rFonts w:ascii="Times New Roman" w:eastAsia="Times New Roman" w:hAnsi="Times New Roman"/>
      <w:sz w:val="24"/>
      <w:szCs w:val="20"/>
      <w:lang w:eastAsia="cs-CZ"/>
    </w:rPr>
  </w:style>
  <w:style w:type="paragraph" w:customStyle="1" w:styleId="Nadpislnku">
    <w:name w:val="Nadpis článku"/>
    <w:basedOn w:val="Normln"/>
    <w:next w:val="Normln"/>
    <w:rsid w:val="000F6072"/>
    <w:pPr>
      <w:keepNext/>
      <w:keepLines/>
      <w:suppressAutoHyphens w:val="0"/>
      <w:spacing w:before="240" w:after="0" w:line="240" w:lineRule="auto"/>
      <w:jc w:val="center"/>
      <w:outlineLvl w:val="5"/>
    </w:pPr>
    <w:rPr>
      <w:rFonts w:ascii="Times New Roman" w:eastAsia="Times New Roman" w:hAnsi="Times New Roman"/>
      <w:b/>
      <w:sz w:val="24"/>
      <w:szCs w:val="20"/>
      <w:lang w:eastAsia="cs-CZ"/>
    </w:rPr>
  </w:style>
  <w:style w:type="paragraph" w:customStyle="1" w:styleId="Nvrh">
    <w:name w:val="Návrh"/>
    <w:basedOn w:val="Normln"/>
    <w:next w:val="Normln"/>
    <w:rsid w:val="000F6072"/>
    <w:pPr>
      <w:keepNext/>
      <w:keepLines/>
      <w:suppressAutoHyphens w:val="0"/>
      <w:spacing w:after="240" w:line="240" w:lineRule="auto"/>
      <w:jc w:val="center"/>
      <w:outlineLvl w:val="0"/>
    </w:pPr>
    <w:rPr>
      <w:rFonts w:ascii="Times New Roman" w:eastAsia="Times New Roman" w:hAnsi="Times New Roman"/>
      <w:spacing w:val="40"/>
      <w:sz w:val="24"/>
      <w:szCs w:val="20"/>
      <w:lang w:eastAsia="cs-CZ"/>
    </w:rPr>
  </w:style>
  <w:style w:type="paragraph" w:customStyle="1" w:styleId="VARIANTA">
    <w:name w:val="VARIANTA"/>
    <w:basedOn w:val="Normln"/>
    <w:next w:val="Normln"/>
    <w:rsid w:val="000F6072"/>
    <w:pPr>
      <w:keepNext/>
      <w:suppressAutoHyphens w:val="0"/>
      <w:spacing w:before="120" w:after="120" w:line="240" w:lineRule="auto"/>
      <w:jc w:val="both"/>
    </w:pPr>
    <w:rPr>
      <w:rFonts w:ascii="Times New Roman" w:eastAsia="Times New Roman" w:hAnsi="Times New Roman"/>
      <w:caps/>
      <w:spacing w:val="60"/>
      <w:sz w:val="24"/>
      <w:szCs w:val="20"/>
      <w:lang w:eastAsia="cs-CZ"/>
    </w:rPr>
  </w:style>
  <w:style w:type="paragraph" w:customStyle="1" w:styleId="VARIANTA-konec">
    <w:name w:val="VARIANTA - konec"/>
    <w:basedOn w:val="Normln"/>
    <w:next w:val="Normln"/>
    <w:rsid w:val="000F6072"/>
    <w:pPr>
      <w:suppressAutoHyphens w:val="0"/>
      <w:spacing w:after="0" w:line="240" w:lineRule="auto"/>
      <w:jc w:val="both"/>
    </w:pPr>
    <w:rPr>
      <w:rFonts w:ascii="Times New Roman" w:eastAsia="Times New Roman" w:hAnsi="Times New Roman"/>
      <w:caps/>
      <w:spacing w:val="60"/>
      <w:sz w:val="24"/>
      <w:szCs w:val="20"/>
      <w:lang w:eastAsia="cs-CZ"/>
    </w:rPr>
  </w:style>
  <w:style w:type="paragraph" w:customStyle="1" w:styleId="Textodstavce">
    <w:name w:val="Text odstavce"/>
    <w:basedOn w:val="Normln"/>
    <w:rsid w:val="000F6072"/>
    <w:pPr>
      <w:numPr>
        <w:numId w:val="3"/>
      </w:numPr>
      <w:tabs>
        <w:tab w:val="left" w:pos="851"/>
      </w:tabs>
      <w:suppressAutoHyphens w:val="0"/>
      <w:spacing w:before="120" w:after="120" w:line="240" w:lineRule="auto"/>
      <w:jc w:val="both"/>
      <w:outlineLvl w:val="6"/>
    </w:pPr>
    <w:rPr>
      <w:rFonts w:ascii="Times New Roman" w:eastAsia="Times New Roman" w:hAnsi="Times New Roman"/>
      <w:sz w:val="24"/>
      <w:szCs w:val="20"/>
      <w:lang w:eastAsia="cs-CZ"/>
    </w:rPr>
  </w:style>
  <w:style w:type="paragraph" w:customStyle="1" w:styleId="Textpsmene">
    <w:name w:val="Text písmene"/>
    <w:basedOn w:val="Normln"/>
    <w:rsid w:val="000F6072"/>
    <w:pPr>
      <w:numPr>
        <w:ilvl w:val="1"/>
        <w:numId w:val="3"/>
      </w:numPr>
      <w:suppressAutoHyphens w:val="0"/>
      <w:spacing w:after="0" w:line="240" w:lineRule="auto"/>
      <w:jc w:val="both"/>
      <w:outlineLvl w:val="7"/>
    </w:pPr>
    <w:rPr>
      <w:rFonts w:ascii="Times New Roman" w:eastAsia="Times New Roman" w:hAnsi="Times New Roman"/>
      <w:sz w:val="24"/>
      <w:szCs w:val="20"/>
      <w:lang w:eastAsia="cs-CZ"/>
    </w:rPr>
  </w:style>
  <w:style w:type="paragraph" w:customStyle="1" w:styleId="ZKON">
    <w:name w:val="ZÁKON"/>
    <w:basedOn w:val="Normln"/>
    <w:next w:val="nadpiszkona"/>
    <w:rsid w:val="000F6072"/>
    <w:pPr>
      <w:keepNext/>
      <w:keepLines/>
      <w:suppressAutoHyphens w:val="0"/>
      <w:spacing w:after="0" w:line="240" w:lineRule="auto"/>
      <w:jc w:val="center"/>
      <w:outlineLvl w:val="0"/>
    </w:pPr>
    <w:rPr>
      <w:rFonts w:ascii="Times New Roman" w:eastAsia="Times New Roman" w:hAnsi="Times New Roman"/>
      <w:b/>
      <w:caps/>
      <w:sz w:val="24"/>
      <w:szCs w:val="20"/>
      <w:lang w:eastAsia="cs-CZ"/>
    </w:rPr>
  </w:style>
  <w:style w:type="paragraph" w:customStyle="1" w:styleId="lnek">
    <w:name w:val="Článek"/>
    <w:basedOn w:val="Normln"/>
    <w:next w:val="Textodstavce"/>
    <w:rsid w:val="000F6072"/>
    <w:pPr>
      <w:keepNext/>
      <w:keepLines/>
      <w:suppressAutoHyphens w:val="0"/>
      <w:spacing w:before="240" w:after="0" w:line="240" w:lineRule="auto"/>
      <w:jc w:val="center"/>
      <w:outlineLvl w:val="5"/>
    </w:pPr>
    <w:rPr>
      <w:rFonts w:ascii="Times New Roman" w:eastAsia="Times New Roman" w:hAnsi="Times New Roman"/>
      <w:sz w:val="24"/>
      <w:szCs w:val="20"/>
      <w:lang w:eastAsia="cs-CZ"/>
    </w:rPr>
  </w:style>
  <w:style w:type="paragraph" w:customStyle="1" w:styleId="Novelizanbod">
    <w:name w:val="Novelizační bod"/>
    <w:basedOn w:val="Normln"/>
    <w:next w:val="Normln"/>
    <w:rsid w:val="000F6072"/>
    <w:pPr>
      <w:keepNext/>
      <w:keepLines/>
      <w:numPr>
        <w:numId w:val="4"/>
      </w:numPr>
      <w:tabs>
        <w:tab w:val="left" w:pos="851"/>
      </w:tabs>
      <w:suppressAutoHyphens w:val="0"/>
      <w:spacing w:before="480" w:after="120" w:line="240" w:lineRule="auto"/>
      <w:jc w:val="both"/>
    </w:pPr>
    <w:rPr>
      <w:rFonts w:ascii="Times New Roman" w:eastAsia="Times New Roman" w:hAnsi="Times New Roman"/>
      <w:sz w:val="24"/>
      <w:szCs w:val="20"/>
      <w:lang w:eastAsia="cs-CZ"/>
    </w:rPr>
  </w:style>
  <w:style w:type="paragraph" w:customStyle="1" w:styleId="Nadpispozmn">
    <w:name w:val="Nadpis pozm.n."/>
    <w:basedOn w:val="Normln"/>
    <w:next w:val="Normln"/>
    <w:rsid w:val="000F6072"/>
    <w:pPr>
      <w:keepNext/>
      <w:keepLines/>
      <w:suppressAutoHyphens w:val="0"/>
      <w:spacing w:after="120" w:line="240" w:lineRule="auto"/>
      <w:jc w:val="center"/>
    </w:pPr>
    <w:rPr>
      <w:rFonts w:ascii="Times New Roman" w:eastAsia="Times New Roman" w:hAnsi="Times New Roman"/>
      <w:b/>
      <w:sz w:val="32"/>
      <w:szCs w:val="20"/>
      <w:lang w:eastAsia="cs-CZ"/>
    </w:rPr>
  </w:style>
  <w:style w:type="paragraph" w:customStyle="1" w:styleId="Novelizanbodvpozmn">
    <w:name w:val="Novelizační bod v pozm.n."/>
    <w:basedOn w:val="Normln"/>
    <w:next w:val="Normln"/>
    <w:rsid w:val="000F6072"/>
    <w:pPr>
      <w:keepNext/>
      <w:keepLines/>
      <w:numPr>
        <w:numId w:val="5"/>
      </w:numPr>
      <w:tabs>
        <w:tab w:val="left" w:pos="1418"/>
      </w:tabs>
      <w:suppressAutoHyphens w:val="0"/>
      <w:spacing w:before="240" w:after="0" w:line="240" w:lineRule="auto"/>
      <w:jc w:val="both"/>
    </w:pPr>
    <w:rPr>
      <w:rFonts w:ascii="Times New Roman" w:eastAsia="Times New Roman" w:hAnsi="Times New Roman"/>
      <w:sz w:val="24"/>
      <w:szCs w:val="20"/>
      <w:lang w:eastAsia="cs-CZ"/>
    </w:rPr>
  </w:style>
  <w:style w:type="paragraph" w:customStyle="1" w:styleId="Psmeno">
    <w:name w:val="&quot;Písmeno&quot;"/>
    <w:basedOn w:val="Normln"/>
    <w:next w:val="Normln"/>
    <w:rsid w:val="000F6072"/>
    <w:pPr>
      <w:keepNext/>
      <w:keepLines/>
      <w:suppressAutoHyphens w:val="0"/>
      <w:spacing w:after="0" w:line="240" w:lineRule="auto"/>
      <w:ind w:left="425" w:hanging="425"/>
      <w:jc w:val="both"/>
    </w:pPr>
    <w:rPr>
      <w:rFonts w:ascii="Times New Roman" w:eastAsia="Times New Roman" w:hAnsi="Times New Roman"/>
      <w:sz w:val="24"/>
      <w:szCs w:val="20"/>
      <w:lang w:eastAsia="cs-CZ"/>
    </w:rPr>
  </w:style>
  <w:style w:type="paragraph" w:customStyle="1" w:styleId="Textpozmn">
    <w:name w:val="Text pozm.n."/>
    <w:basedOn w:val="Normln"/>
    <w:next w:val="Normln"/>
    <w:rsid w:val="000F6072"/>
    <w:pPr>
      <w:numPr>
        <w:numId w:val="6"/>
      </w:numPr>
      <w:tabs>
        <w:tab w:val="left" w:pos="851"/>
      </w:tabs>
      <w:suppressAutoHyphens w:val="0"/>
      <w:spacing w:after="120" w:line="240" w:lineRule="auto"/>
      <w:jc w:val="both"/>
    </w:pPr>
    <w:rPr>
      <w:rFonts w:ascii="Times New Roman" w:eastAsia="Times New Roman" w:hAnsi="Times New Roman"/>
      <w:sz w:val="24"/>
      <w:szCs w:val="20"/>
      <w:lang w:eastAsia="cs-CZ"/>
    </w:rPr>
  </w:style>
  <w:style w:type="paragraph" w:customStyle="1" w:styleId="Oznaenpozmn">
    <w:name w:val="Označení pozm.n."/>
    <w:basedOn w:val="Normln"/>
    <w:next w:val="Normln"/>
    <w:rsid w:val="000F6072"/>
    <w:pPr>
      <w:numPr>
        <w:numId w:val="7"/>
      </w:numPr>
      <w:suppressAutoHyphens w:val="0"/>
      <w:spacing w:after="120" w:line="240" w:lineRule="auto"/>
      <w:jc w:val="both"/>
    </w:pPr>
    <w:rPr>
      <w:rFonts w:ascii="Times New Roman" w:eastAsia="Times New Roman" w:hAnsi="Times New Roman"/>
      <w:b/>
      <w:sz w:val="24"/>
      <w:szCs w:val="20"/>
      <w:lang w:eastAsia="cs-CZ"/>
    </w:rPr>
  </w:style>
  <w:style w:type="paragraph" w:customStyle="1" w:styleId="CELEX">
    <w:name w:val="CELEX"/>
    <w:basedOn w:val="Normln"/>
    <w:next w:val="Normln"/>
    <w:rsid w:val="000F6072"/>
    <w:pPr>
      <w:suppressAutoHyphens w:val="0"/>
      <w:spacing w:before="60" w:after="0" w:line="240" w:lineRule="auto"/>
      <w:jc w:val="both"/>
    </w:pPr>
    <w:rPr>
      <w:rFonts w:ascii="Times New Roman" w:eastAsia="Times New Roman" w:hAnsi="Times New Roman"/>
      <w:i/>
      <w:sz w:val="20"/>
      <w:szCs w:val="20"/>
      <w:lang w:eastAsia="cs-CZ"/>
    </w:rPr>
  </w:style>
  <w:style w:type="paragraph" w:customStyle="1" w:styleId="ST0">
    <w:name w:val="ČÁST"/>
    <w:basedOn w:val="Normln"/>
    <w:next w:val="NADPISSTI"/>
    <w:rsid w:val="000F6072"/>
    <w:pPr>
      <w:keepNext/>
      <w:keepLines/>
      <w:suppressAutoHyphens w:val="0"/>
      <w:spacing w:before="240" w:after="120" w:line="240" w:lineRule="auto"/>
      <w:jc w:val="center"/>
      <w:outlineLvl w:val="1"/>
    </w:pPr>
    <w:rPr>
      <w:rFonts w:ascii="Times New Roman" w:eastAsia="Times New Roman" w:hAnsi="Times New Roman"/>
      <w:caps/>
      <w:sz w:val="24"/>
      <w:szCs w:val="20"/>
      <w:lang w:eastAsia="cs-CZ"/>
    </w:rPr>
  </w:style>
  <w:style w:type="paragraph" w:customStyle="1" w:styleId="Hlava">
    <w:name w:val="Hlava"/>
    <w:basedOn w:val="Normln"/>
    <w:next w:val="Nadpishlavy"/>
    <w:rsid w:val="000F6072"/>
    <w:pPr>
      <w:keepNext/>
      <w:keepLines/>
      <w:suppressAutoHyphens w:val="0"/>
      <w:spacing w:before="240" w:after="0" w:line="240" w:lineRule="auto"/>
      <w:jc w:val="center"/>
      <w:outlineLvl w:val="2"/>
    </w:pPr>
    <w:rPr>
      <w:rFonts w:ascii="Times New Roman" w:eastAsia="Times New Roman" w:hAnsi="Times New Roman"/>
      <w:sz w:val="24"/>
      <w:szCs w:val="20"/>
      <w:lang w:eastAsia="cs-CZ"/>
    </w:rPr>
  </w:style>
  <w:style w:type="paragraph" w:customStyle="1" w:styleId="Dl">
    <w:name w:val="Díl"/>
    <w:basedOn w:val="Normln"/>
    <w:next w:val="Nadpisdlu"/>
    <w:rsid w:val="000F6072"/>
    <w:pPr>
      <w:keepNext/>
      <w:keepLines/>
      <w:suppressAutoHyphens w:val="0"/>
      <w:spacing w:before="240" w:after="0" w:line="240" w:lineRule="auto"/>
      <w:jc w:val="center"/>
      <w:outlineLvl w:val="3"/>
    </w:pPr>
    <w:rPr>
      <w:rFonts w:ascii="Times New Roman" w:eastAsia="Times New Roman" w:hAnsi="Times New Roman"/>
      <w:sz w:val="24"/>
      <w:szCs w:val="20"/>
      <w:lang w:eastAsia="cs-CZ"/>
    </w:rPr>
  </w:style>
  <w:style w:type="paragraph" w:customStyle="1" w:styleId="Oddl">
    <w:name w:val="Oddíl"/>
    <w:basedOn w:val="Normln"/>
    <w:next w:val="Nadpisoddlu"/>
    <w:rsid w:val="000F6072"/>
    <w:pPr>
      <w:keepNext/>
      <w:keepLines/>
      <w:suppressAutoHyphens w:val="0"/>
      <w:spacing w:before="240" w:after="0" w:line="240" w:lineRule="auto"/>
      <w:jc w:val="center"/>
      <w:outlineLvl w:val="4"/>
    </w:pPr>
    <w:rPr>
      <w:rFonts w:ascii="Times New Roman" w:eastAsia="Times New Roman" w:hAnsi="Times New Roman"/>
      <w:sz w:val="24"/>
      <w:szCs w:val="20"/>
      <w:lang w:eastAsia="cs-CZ"/>
    </w:rPr>
  </w:style>
  <w:style w:type="paragraph" w:customStyle="1" w:styleId="Paragraf">
    <w:name w:val="Paragraf"/>
    <w:basedOn w:val="Normln"/>
    <w:next w:val="Textodstavce"/>
    <w:rsid w:val="000F6072"/>
    <w:pPr>
      <w:keepNext/>
      <w:keepLines/>
      <w:suppressAutoHyphens w:val="0"/>
      <w:spacing w:before="240" w:after="0" w:line="240" w:lineRule="auto"/>
      <w:jc w:val="center"/>
      <w:outlineLvl w:val="5"/>
    </w:pPr>
    <w:rPr>
      <w:rFonts w:ascii="Times New Roman" w:eastAsia="Times New Roman" w:hAnsi="Times New Roman"/>
      <w:sz w:val="24"/>
      <w:szCs w:val="20"/>
      <w:lang w:eastAsia="cs-CZ"/>
    </w:rPr>
  </w:style>
  <w:style w:type="paragraph" w:customStyle="1" w:styleId="Podpis">
    <w:name w:val="Podpis_"/>
    <w:basedOn w:val="Normln"/>
    <w:next w:val="Normln"/>
    <w:rsid w:val="000F6072"/>
    <w:pPr>
      <w:keepNext/>
      <w:keepLines/>
      <w:suppressAutoHyphens w:val="0"/>
      <w:spacing w:before="720" w:after="0" w:line="240" w:lineRule="auto"/>
      <w:jc w:val="center"/>
    </w:pPr>
    <w:rPr>
      <w:rFonts w:ascii="Times New Roman" w:eastAsia="Times New Roman" w:hAnsi="Times New Roman"/>
      <w:sz w:val="24"/>
      <w:szCs w:val="20"/>
      <w:lang w:eastAsia="cs-CZ"/>
    </w:rPr>
  </w:style>
  <w:style w:type="paragraph" w:customStyle="1" w:styleId="funkce">
    <w:name w:val="funkce"/>
    <w:basedOn w:val="Normln"/>
    <w:rsid w:val="000F6072"/>
    <w:pPr>
      <w:keepLines/>
      <w:suppressAutoHyphens w:val="0"/>
      <w:spacing w:after="0" w:line="240" w:lineRule="auto"/>
      <w:jc w:val="center"/>
    </w:pPr>
    <w:rPr>
      <w:rFonts w:ascii="Times New Roman" w:eastAsia="Times New Roman" w:hAnsi="Times New Roman"/>
      <w:sz w:val="24"/>
      <w:szCs w:val="20"/>
      <w:lang w:eastAsia="cs-CZ"/>
    </w:rPr>
  </w:style>
  <w:style w:type="character" w:customStyle="1" w:styleId="Odkaznapoznpodarou">
    <w:name w:val="Odkaz na pozn. pod čarou"/>
    <w:basedOn w:val="Standardnpsmoodstavce"/>
    <w:rsid w:val="000F6072"/>
    <w:rPr>
      <w:vertAlign w:val="superscript"/>
    </w:rPr>
  </w:style>
  <w:style w:type="paragraph" w:customStyle="1" w:styleId="Textbodunovely">
    <w:name w:val="Text bodu novely"/>
    <w:basedOn w:val="Normln"/>
    <w:next w:val="Normln"/>
    <w:rsid w:val="000F6072"/>
    <w:pPr>
      <w:suppressAutoHyphens w:val="0"/>
      <w:spacing w:after="0" w:line="240" w:lineRule="auto"/>
      <w:ind w:left="567" w:hanging="567"/>
      <w:jc w:val="both"/>
    </w:pPr>
    <w:rPr>
      <w:rFonts w:ascii="Times New Roman" w:eastAsia="Times New Roman" w:hAnsi="Times New Roman"/>
      <w:sz w:val="24"/>
      <w:szCs w:val="20"/>
      <w:lang w:eastAsia="cs-CZ"/>
    </w:rPr>
  </w:style>
  <w:style w:type="table" w:customStyle="1" w:styleId="Mkatabulky2">
    <w:name w:val="Mřížka tabulky2"/>
    <w:basedOn w:val="Normlntabulka"/>
    <w:next w:val="Mkatabulky"/>
    <w:uiPriority w:val="39"/>
    <w:rsid w:val="00A03F2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seznamu1">
    <w:name w:val="Bez seznamu1"/>
    <w:next w:val="Bezseznamu"/>
    <w:uiPriority w:val="99"/>
    <w:semiHidden/>
    <w:unhideWhenUsed/>
    <w:rsid w:val="00A03F2C"/>
  </w:style>
  <w:style w:type="table" w:customStyle="1" w:styleId="Mkatabulky3">
    <w:name w:val="Mřížka tabulky3"/>
    <w:basedOn w:val="Normlntabulka"/>
    <w:next w:val="Mkatabulky"/>
    <w:uiPriority w:val="39"/>
    <w:rsid w:val="00A03F2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192">
      <w:bodyDiv w:val="1"/>
      <w:marLeft w:val="0"/>
      <w:marRight w:val="0"/>
      <w:marTop w:val="0"/>
      <w:marBottom w:val="0"/>
      <w:divBdr>
        <w:top w:val="none" w:sz="0" w:space="0" w:color="auto"/>
        <w:left w:val="none" w:sz="0" w:space="0" w:color="auto"/>
        <w:bottom w:val="none" w:sz="0" w:space="0" w:color="auto"/>
        <w:right w:val="none" w:sz="0" w:space="0" w:color="auto"/>
      </w:divBdr>
    </w:div>
    <w:div w:id="18313756">
      <w:bodyDiv w:val="1"/>
      <w:marLeft w:val="0"/>
      <w:marRight w:val="0"/>
      <w:marTop w:val="0"/>
      <w:marBottom w:val="0"/>
      <w:divBdr>
        <w:top w:val="none" w:sz="0" w:space="0" w:color="auto"/>
        <w:left w:val="none" w:sz="0" w:space="0" w:color="auto"/>
        <w:bottom w:val="none" w:sz="0" w:space="0" w:color="auto"/>
        <w:right w:val="none" w:sz="0" w:space="0" w:color="auto"/>
      </w:divBdr>
    </w:div>
    <w:div w:id="43871113">
      <w:bodyDiv w:val="1"/>
      <w:marLeft w:val="0"/>
      <w:marRight w:val="0"/>
      <w:marTop w:val="0"/>
      <w:marBottom w:val="0"/>
      <w:divBdr>
        <w:top w:val="none" w:sz="0" w:space="0" w:color="auto"/>
        <w:left w:val="none" w:sz="0" w:space="0" w:color="auto"/>
        <w:bottom w:val="none" w:sz="0" w:space="0" w:color="auto"/>
        <w:right w:val="none" w:sz="0" w:space="0" w:color="auto"/>
      </w:divBdr>
    </w:div>
    <w:div w:id="180629177">
      <w:bodyDiv w:val="1"/>
      <w:marLeft w:val="0"/>
      <w:marRight w:val="0"/>
      <w:marTop w:val="0"/>
      <w:marBottom w:val="0"/>
      <w:divBdr>
        <w:top w:val="none" w:sz="0" w:space="0" w:color="auto"/>
        <w:left w:val="none" w:sz="0" w:space="0" w:color="auto"/>
        <w:bottom w:val="none" w:sz="0" w:space="0" w:color="auto"/>
        <w:right w:val="none" w:sz="0" w:space="0" w:color="auto"/>
      </w:divBdr>
    </w:div>
    <w:div w:id="273639173">
      <w:bodyDiv w:val="1"/>
      <w:marLeft w:val="0"/>
      <w:marRight w:val="0"/>
      <w:marTop w:val="0"/>
      <w:marBottom w:val="0"/>
      <w:divBdr>
        <w:top w:val="none" w:sz="0" w:space="0" w:color="auto"/>
        <w:left w:val="none" w:sz="0" w:space="0" w:color="auto"/>
        <w:bottom w:val="none" w:sz="0" w:space="0" w:color="auto"/>
        <w:right w:val="none" w:sz="0" w:space="0" w:color="auto"/>
      </w:divBdr>
    </w:div>
    <w:div w:id="295572826">
      <w:bodyDiv w:val="1"/>
      <w:marLeft w:val="0"/>
      <w:marRight w:val="0"/>
      <w:marTop w:val="0"/>
      <w:marBottom w:val="0"/>
      <w:divBdr>
        <w:top w:val="none" w:sz="0" w:space="0" w:color="auto"/>
        <w:left w:val="none" w:sz="0" w:space="0" w:color="auto"/>
        <w:bottom w:val="none" w:sz="0" w:space="0" w:color="auto"/>
        <w:right w:val="none" w:sz="0" w:space="0" w:color="auto"/>
      </w:divBdr>
    </w:div>
    <w:div w:id="580721375">
      <w:bodyDiv w:val="1"/>
      <w:marLeft w:val="0"/>
      <w:marRight w:val="0"/>
      <w:marTop w:val="0"/>
      <w:marBottom w:val="0"/>
      <w:divBdr>
        <w:top w:val="none" w:sz="0" w:space="0" w:color="auto"/>
        <w:left w:val="none" w:sz="0" w:space="0" w:color="auto"/>
        <w:bottom w:val="none" w:sz="0" w:space="0" w:color="auto"/>
        <w:right w:val="none" w:sz="0" w:space="0" w:color="auto"/>
      </w:divBdr>
    </w:div>
    <w:div w:id="742069975">
      <w:bodyDiv w:val="1"/>
      <w:marLeft w:val="0"/>
      <w:marRight w:val="0"/>
      <w:marTop w:val="0"/>
      <w:marBottom w:val="0"/>
      <w:divBdr>
        <w:top w:val="none" w:sz="0" w:space="0" w:color="auto"/>
        <w:left w:val="none" w:sz="0" w:space="0" w:color="auto"/>
        <w:bottom w:val="none" w:sz="0" w:space="0" w:color="auto"/>
        <w:right w:val="none" w:sz="0" w:space="0" w:color="auto"/>
      </w:divBdr>
    </w:div>
    <w:div w:id="795217982">
      <w:bodyDiv w:val="1"/>
      <w:marLeft w:val="0"/>
      <w:marRight w:val="0"/>
      <w:marTop w:val="0"/>
      <w:marBottom w:val="0"/>
      <w:divBdr>
        <w:top w:val="none" w:sz="0" w:space="0" w:color="auto"/>
        <w:left w:val="none" w:sz="0" w:space="0" w:color="auto"/>
        <w:bottom w:val="none" w:sz="0" w:space="0" w:color="auto"/>
        <w:right w:val="none" w:sz="0" w:space="0" w:color="auto"/>
      </w:divBdr>
      <w:divsChild>
        <w:div w:id="1653675861">
          <w:marLeft w:val="0"/>
          <w:marRight w:val="0"/>
          <w:marTop w:val="0"/>
          <w:marBottom w:val="0"/>
          <w:divBdr>
            <w:top w:val="none" w:sz="0" w:space="0" w:color="auto"/>
            <w:left w:val="none" w:sz="0" w:space="0" w:color="auto"/>
            <w:bottom w:val="none" w:sz="0" w:space="0" w:color="auto"/>
            <w:right w:val="none" w:sz="0" w:space="0" w:color="auto"/>
          </w:divBdr>
          <w:divsChild>
            <w:div w:id="1745377509">
              <w:marLeft w:val="0"/>
              <w:marRight w:val="0"/>
              <w:marTop w:val="0"/>
              <w:marBottom w:val="0"/>
              <w:divBdr>
                <w:top w:val="none" w:sz="0" w:space="0" w:color="auto"/>
                <w:left w:val="none" w:sz="0" w:space="0" w:color="auto"/>
                <w:bottom w:val="none" w:sz="0" w:space="0" w:color="auto"/>
                <w:right w:val="none" w:sz="0" w:space="0" w:color="auto"/>
              </w:divBdr>
              <w:divsChild>
                <w:div w:id="1261598507">
                  <w:marLeft w:val="0"/>
                  <w:marRight w:val="0"/>
                  <w:marTop w:val="0"/>
                  <w:marBottom w:val="0"/>
                  <w:divBdr>
                    <w:top w:val="none" w:sz="0" w:space="0" w:color="auto"/>
                    <w:left w:val="none" w:sz="0" w:space="0" w:color="auto"/>
                    <w:bottom w:val="none" w:sz="0" w:space="0" w:color="auto"/>
                    <w:right w:val="none" w:sz="0" w:space="0" w:color="auto"/>
                  </w:divBdr>
                  <w:divsChild>
                    <w:div w:id="1918395721">
                      <w:marLeft w:val="0"/>
                      <w:marRight w:val="0"/>
                      <w:marTop w:val="0"/>
                      <w:marBottom w:val="0"/>
                      <w:divBdr>
                        <w:top w:val="none" w:sz="0" w:space="0" w:color="auto"/>
                        <w:left w:val="none" w:sz="0" w:space="0" w:color="auto"/>
                        <w:bottom w:val="none" w:sz="0" w:space="0" w:color="auto"/>
                        <w:right w:val="none" w:sz="0" w:space="0" w:color="auto"/>
                      </w:divBdr>
                      <w:divsChild>
                        <w:div w:id="7690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282459">
      <w:bodyDiv w:val="1"/>
      <w:marLeft w:val="0"/>
      <w:marRight w:val="0"/>
      <w:marTop w:val="0"/>
      <w:marBottom w:val="0"/>
      <w:divBdr>
        <w:top w:val="none" w:sz="0" w:space="0" w:color="auto"/>
        <w:left w:val="none" w:sz="0" w:space="0" w:color="auto"/>
        <w:bottom w:val="none" w:sz="0" w:space="0" w:color="auto"/>
        <w:right w:val="none" w:sz="0" w:space="0" w:color="auto"/>
      </w:divBdr>
    </w:div>
    <w:div w:id="1083379302">
      <w:bodyDiv w:val="1"/>
      <w:marLeft w:val="0"/>
      <w:marRight w:val="0"/>
      <w:marTop w:val="0"/>
      <w:marBottom w:val="0"/>
      <w:divBdr>
        <w:top w:val="none" w:sz="0" w:space="0" w:color="auto"/>
        <w:left w:val="none" w:sz="0" w:space="0" w:color="auto"/>
        <w:bottom w:val="none" w:sz="0" w:space="0" w:color="auto"/>
        <w:right w:val="none" w:sz="0" w:space="0" w:color="auto"/>
      </w:divBdr>
    </w:div>
    <w:div w:id="1133133277">
      <w:bodyDiv w:val="1"/>
      <w:marLeft w:val="0"/>
      <w:marRight w:val="0"/>
      <w:marTop w:val="0"/>
      <w:marBottom w:val="0"/>
      <w:divBdr>
        <w:top w:val="none" w:sz="0" w:space="0" w:color="auto"/>
        <w:left w:val="none" w:sz="0" w:space="0" w:color="auto"/>
        <w:bottom w:val="none" w:sz="0" w:space="0" w:color="auto"/>
        <w:right w:val="none" w:sz="0" w:space="0" w:color="auto"/>
      </w:divBdr>
    </w:div>
    <w:div w:id="1427574413">
      <w:bodyDiv w:val="1"/>
      <w:marLeft w:val="0"/>
      <w:marRight w:val="0"/>
      <w:marTop w:val="0"/>
      <w:marBottom w:val="0"/>
      <w:divBdr>
        <w:top w:val="none" w:sz="0" w:space="0" w:color="auto"/>
        <w:left w:val="none" w:sz="0" w:space="0" w:color="auto"/>
        <w:bottom w:val="none" w:sz="0" w:space="0" w:color="auto"/>
        <w:right w:val="none" w:sz="0" w:space="0" w:color="auto"/>
      </w:divBdr>
    </w:div>
    <w:div w:id="1483698417">
      <w:bodyDiv w:val="1"/>
      <w:marLeft w:val="0"/>
      <w:marRight w:val="0"/>
      <w:marTop w:val="0"/>
      <w:marBottom w:val="0"/>
      <w:divBdr>
        <w:top w:val="none" w:sz="0" w:space="0" w:color="auto"/>
        <w:left w:val="none" w:sz="0" w:space="0" w:color="auto"/>
        <w:bottom w:val="none" w:sz="0" w:space="0" w:color="auto"/>
        <w:right w:val="none" w:sz="0" w:space="0" w:color="auto"/>
      </w:divBdr>
    </w:div>
    <w:div w:id="1672177779">
      <w:bodyDiv w:val="1"/>
      <w:marLeft w:val="0"/>
      <w:marRight w:val="0"/>
      <w:marTop w:val="0"/>
      <w:marBottom w:val="0"/>
      <w:divBdr>
        <w:top w:val="none" w:sz="0" w:space="0" w:color="auto"/>
        <w:left w:val="none" w:sz="0" w:space="0" w:color="auto"/>
        <w:bottom w:val="none" w:sz="0" w:space="0" w:color="auto"/>
        <w:right w:val="none" w:sz="0" w:space="0" w:color="auto"/>
      </w:divBdr>
    </w:div>
    <w:div w:id="1710909248">
      <w:bodyDiv w:val="1"/>
      <w:marLeft w:val="0"/>
      <w:marRight w:val="0"/>
      <w:marTop w:val="0"/>
      <w:marBottom w:val="0"/>
      <w:divBdr>
        <w:top w:val="none" w:sz="0" w:space="0" w:color="auto"/>
        <w:left w:val="none" w:sz="0" w:space="0" w:color="auto"/>
        <w:bottom w:val="none" w:sz="0" w:space="0" w:color="auto"/>
        <w:right w:val="none" w:sz="0" w:space="0" w:color="auto"/>
      </w:divBdr>
    </w:div>
    <w:div w:id="1733582407">
      <w:bodyDiv w:val="1"/>
      <w:marLeft w:val="0"/>
      <w:marRight w:val="0"/>
      <w:marTop w:val="0"/>
      <w:marBottom w:val="0"/>
      <w:divBdr>
        <w:top w:val="none" w:sz="0" w:space="0" w:color="auto"/>
        <w:left w:val="none" w:sz="0" w:space="0" w:color="auto"/>
        <w:bottom w:val="none" w:sz="0" w:space="0" w:color="auto"/>
        <w:right w:val="none" w:sz="0" w:space="0" w:color="auto"/>
      </w:divBdr>
    </w:div>
    <w:div w:id="1747339418">
      <w:bodyDiv w:val="1"/>
      <w:marLeft w:val="0"/>
      <w:marRight w:val="0"/>
      <w:marTop w:val="0"/>
      <w:marBottom w:val="0"/>
      <w:divBdr>
        <w:top w:val="none" w:sz="0" w:space="0" w:color="auto"/>
        <w:left w:val="none" w:sz="0" w:space="0" w:color="auto"/>
        <w:bottom w:val="none" w:sz="0" w:space="0" w:color="auto"/>
        <w:right w:val="none" w:sz="0" w:space="0" w:color="auto"/>
      </w:divBdr>
    </w:div>
    <w:div w:id="1830361236">
      <w:bodyDiv w:val="1"/>
      <w:marLeft w:val="0"/>
      <w:marRight w:val="0"/>
      <w:marTop w:val="0"/>
      <w:marBottom w:val="0"/>
      <w:divBdr>
        <w:top w:val="none" w:sz="0" w:space="0" w:color="auto"/>
        <w:left w:val="none" w:sz="0" w:space="0" w:color="auto"/>
        <w:bottom w:val="none" w:sz="0" w:space="0" w:color="auto"/>
        <w:right w:val="none" w:sz="0" w:space="0" w:color="auto"/>
      </w:divBdr>
    </w:div>
    <w:div w:id="1871185051">
      <w:bodyDiv w:val="1"/>
      <w:marLeft w:val="0"/>
      <w:marRight w:val="0"/>
      <w:marTop w:val="0"/>
      <w:marBottom w:val="0"/>
      <w:divBdr>
        <w:top w:val="none" w:sz="0" w:space="0" w:color="auto"/>
        <w:left w:val="none" w:sz="0" w:space="0" w:color="auto"/>
        <w:bottom w:val="none" w:sz="0" w:space="0" w:color="auto"/>
        <w:right w:val="none" w:sz="0" w:space="0" w:color="auto"/>
      </w:divBdr>
    </w:div>
    <w:div w:id="1990477698">
      <w:bodyDiv w:val="1"/>
      <w:marLeft w:val="0"/>
      <w:marRight w:val="0"/>
      <w:marTop w:val="0"/>
      <w:marBottom w:val="0"/>
      <w:divBdr>
        <w:top w:val="none" w:sz="0" w:space="0" w:color="auto"/>
        <w:left w:val="none" w:sz="0" w:space="0" w:color="auto"/>
        <w:bottom w:val="none" w:sz="0" w:space="0" w:color="auto"/>
        <w:right w:val="none" w:sz="0" w:space="0" w:color="auto"/>
      </w:divBdr>
    </w:div>
    <w:div w:id="2032605836">
      <w:bodyDiv w:val="1"/>
      <w:marLeft w:val="0"/>
      <w:marRight w:val="0"/>
      <w:marTop w:val="0"/>
      <w:marBottom w:val="0"/>
      <w:divBdr>
        <w:top w:val="none" w:sz="0" w:space="0" w:color="auto"/>
        <w:left w:val="none" w:sz="0" w:space="0" w:color="auto"/>
        <w:bottom w:val="none" w:sz="0" w:space="0" w:color="auto"/>
        <w:right w:val="none" w:sz="0" w:space="0" w:color="auto"/>
      </w:divBdr>
    </w:div>
    <w:div w:id="2101944123">
      <w:bodyDiv w:val="1"/>
      <w:marLeft w:val="0"/>
      <w:marRight w:val="0"/>
      <w:marTop w:val="0"/>
      <w:marBottom w:val="0"/>
      <w:divBdr>
        <w:top w:val="none" w:sz="0" w:space="0" w:color="auto"/>
        <w:left w:val="none" w:sz="0" w:space="0" w:color="auto"/>
        <w:bottom w:val="none" w:sz="0" w:space="0" w:color="auto"/>
        <w:right w:val="none" w:sz="0" w:space="0" w:color="auto"/>
      </w:divBdr>
    </w:div>
    <w:div w:id="2124492125">
      <w:bodyDiv w:val="1"/>
      <w:marLeft w:val="0"/>
      <w:marRight w:val="0"/>
      <w:marTop w:val="0"/>
      <w:marBottom w:val="0"/>
      <w:divBdr>
        <w:top w:val="none" w:sz="0" w:space="0" w:color="auto"/>
        <w:left w:val="none" w:sz="0" w:space="0" w:color="auto"/>
        <w:bottom w:val="none" w:sz="0" w:space="0" w:color="auto"/>
        <w:right w:val="none" w:sz="0" w:space="0" w:color="auto"/>
      </w:divBdr>
    </w:div>
    <w:div w:id="21436930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chart" Target="charts/chart6.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idea.cerge-ei.cz/studies/klienti-penzijnich-fondu-v-pasti-nizkych-vynosu-a-vysokych-poplatku" TargetMode="External"/><Relationship Id="rId2" Type="http://schemas.openxmlformats.org/officeDocument/2006/relationships/hyperlink" Target="https://doi.org/10.1787/e6387738-en" TargetMode="External"/><Relationship Id="rId1" Type="http://schemas.openxmlformats.org/officeDocument/2006/relationships/hyperlink" Target="https://data.apscr.cz/dokumenty/Srovnavaci%20studie%20tretiho%20duchodoveho%20pilire.pdf" TargetMode="External"/><Relationship Id="rId6" Type="http://schemas.openxmlformats.org/officeDocument/2006/relationships/hyperlink" Target="https://csu.gov.cz/produkty/projekce-obyvatelstva-ceske-republiky-2023-2100" TargetMode="External"/><Relationship Id="rId5" Type="http://schemas.openxmlformats.org/officeDocument/2006/relationships/hyperlink" Target="https://data.apscr.cz/dokumenty/Prezentace-z-TK-Evoluce-penzijka.pdf" TargetMode="External"/><Relationship Id="rId4" Type="http://schemas.openxmlformats.org/officeDocument/2006/relationships/hyperlink" Target="https://csu.gov.cz/produkty/projekce-obyvatelstva-ceske-republiky-2023-2100"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14630\Documents\SDPF\2026\ZZ%20RIA%20III.%20pil&#237;&#345;%20duben%202026\&#218;platy.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14630\Documents\SDPF\2026\ZZ%20RIA%20III.%20pil&#237;&#345;%20duben%202026\&#218;platy.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C:\Users\14630\Documents\SDPF\2026\ZZ%20RIA%20III.%20pil&#237;&#345;%20duben%202026\Zisk%20a%20kapit&#225;l%20PS.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1.xml"/><Relationship Id="rId4" Type="http://schemas.openxmlformats.org/officeDocument/2006/relationships/package" Target="../embeddings/List_aplikace_Microsoft_Excel.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List_aplikace_Microsoft_Excel1.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C:\Users\14630\Documents\SDPF\2026\ZZ%20RIA%20III.%20pil&#237;&#345;%20duben%202026\naklady-PS%20-%20202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cs-CZ" sz="1100"/>
              <a:t>Transformované</a:t>
            </a:r>
            <a:r>
              <a:rPr lang="cs-CZ" sz="1100" baseline="0"/>
              <a:t> fondy</a:t>
            </a:r>
            <a:endParaRPr lang="cs-CZ" sz="1100"/>
          </a:p>
        </c:rich>
      </c:tx>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manualLayout>
          <c:layoutTarget val="inner"/>
          <c:xMode val="edge"/>
          <c:yMode val="edge"/>
          <c:x val="9.5337915234822448E-2"/>
          <c:y val="0.17171296296296296"/>
          <c:w val="0.86465635738831614"/>
          <c:h val="0.62443597886772073"/>
        </c:manualLayout>
      </c:layout>
      <c:barChart>
        <c:barDir val="col"/>
        <c:grouping val="stacked"/>
        <c:varyColors val="0"/>
        <c:ser>
          <c:idx val="0"/>
          <c:order val="0"/>
          <c:tx>
            <c:strRef>
              <c:f>Sheet1!$A$11</c:f>
              <c:strCache>
                <c:ptCount val="1"/>
                <c:pt idx="0">
                  <c:v>Úplata za obhospodařování</c:v>
                </c:pt>
              </c:strCache>
            </c:strRef>
          </c:tx>
          <c:spPr>
            <a:solidFill>
              <a:schemeClr val="accent1"/>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Sheet1!$B$11:$K$11</c:f>
              <c:numCache>
                <c:formatCode>#,##0</c:formatCode>
                <c:ptCount val="10"/>
                <c:pt idx="0">
                  <c:v>2898973</c:v>
                </c:pt>
                <c:pt idx="1">
                  <c:v>3102106</c:v>
                </c:pt>
                <c:pt idx="2">
                  <c:v>3205368</c:v>
                </c:pt>
                <c:pt idx="3">
                  <c:v>3416367</c:v>
                </c:pt>
                <c:pt idx="4">
                  <c:v>3611557</c:v>
                </c:pt>
                <c:pt idx="5">
                  <c:v>3721558</c:v>
                </c:pt>
                <c:pt idx="6">
                  <c:v>3782714</c:v>
                </c:pt>
                <c:pt idx="7">
                  <c:v>3708681</c:v>
                </c:pt>
                <c:pt idx="8">
                  <c:v>3342605</c:v>
                </c:pt>
                <c:pt idx="9">
                  <c:v>2964068</c:v>
                </c:pt>
              </c:numCache>
            </c:numRef>
          </c:val>
          <c:extLst>
            <c:ext xmlns:c16="http://schemas.microsoft.com/office/drawing/2014/chart" uri="{C3380CC4-5D6E-409C-BE32-E72D297353CC}">
              <c16:uniqueId val="{00000000-DBB3-4B9D-BF78-E6099993FA53}"/>
            </c:ext>
          </c:extLst>
        </c:ser>
        <c:ser>
          <c:idx val="1"/>
          <c:order val="1"/>
          <c:tx>
            <c:strRef>
              <c:f>Sheet1!$A$12</c:f>
              <c:strCache>
                <c:ptCount val="1"/>
                <c:pt idx="0">
                  <c:v>Úplata za zhodnocení</c:v>
                </c:pt>
              </c:strCache>
            </c:strRef>
          </c:tx>
          <c:spPr>
            <a:solidFill>
              <a:schemeClr val="accent2"/>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Sheet1!$B$12:$K$12</c:f>
              <c:numCache>
                <c:formatCode>#,##0</c:formatCode>
                <c:ptCount val="10"/>
                <c:pt idx="0">
                  <c:v>311308</c:v>
                </c:pt>
                <c:pt idx="1">
                  <c:v>260417</c:v>
                </c:pt>
                <c:pt idx="2">
                  <c:v>324420</c:v>
                </c:pt>
                <c:pt idx="3">
                  <c:v>564101</c:v>
                </c:pt>
                <c:pt idx="4">
                  <c:v>413439</c:v>
                </c:pt>
                <c:pt idx="5">
                  <c:v>253527</c:v>
                </c:pt>
                <c:pt idx="6">
                  <c:v>802812</c:v>
                </c:pt>
                <c:pt idx="7">
                  <c:v>1105495</c:v>
                </c:pt>
                <c:pt idx="8">
                  <c:v>932129</c:v>
                </c:pt>
                <c:pt idx="9">
                  <c:v>623180</c:v>
                </c:pt>
              </c:numCache>
            </c:numRef>
          </c:val>
          <c:extLst>
            <c:ext xmlns:c16="http://schemas.microsoft.com/office/drawing/2014/chart" uri="{C3380CC4-5D6E-409C-BE32-E72D297353CC}">
              <c16:uniqueId val="{00000001-DBB3-4B9D-BF78-E6099993FA53}"/>
            </c:ext>
          </c:extLst>
        </c:ser>
        <c:dLbls>
          <c:showLegendKey val="0"/>
          <c:showVal val="0"/>
          <c:showCatName val="0"/>
          <c:showSerName val="0"/>
          <c:showPercent val="0"/>
          <c:showBubbleSize val="0"/>
        </c:dLbls>
        <c:gapWidth val="150"/>
        <c:overlap val="100"/>
        <c:axId val="571390544"/>
        <c:axId val="571387592"/>
      </c:barChart>
      <c:catAx>
        <c:axId val="57139054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a:t>mld.</a:t>
                </a:r>
                <a:r>
                  <a:rPr lang="cs-CZ" baseline="0"/>
                  <a:t> Kč</a:t>
                </a:r>
              </a:p>
            </c:rich>
          </c:tx>
          <c:layout>
            <c:manualLayout>
              <c:xMode val="edge"/>
              <c:yMode val="edge"/>
              <c:x val="1.2096747400245852E-3"/>
              <c:y val="6.3865558471857681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1387592"/>
        <c:crosses val="autoZero"/>
        <c:auto val="1"/>
        <c:lblAlgn val="ctr"/>
        <c:lblOffset val="100"/>
        <c:noMultiLvlLbl val="0"/>
      </c:catAx>
      <c:valAx>
        <c:axId val="571387592"/>
        <c:scaling>
          <c:orientation val="minMax"/>
          <c:max val="5000000"/>
        </c:scaling>
        <c:delete val="0"/>
        <c:axPos val="l"/>
        <c:majorGridlines>
          <c:spPr>
            <a:ln w="9525" cap="flat" cmpd="sng" algn="ctr">
              <a:solidFill>
                <a:schemeClr val="tx1">
                  <a:lumMod val="15000"/>
                  <a:lumOff val="85000"/>
                </a:schemeClr>
              </a:solidFill>
              <a:round/>
            </a:ln>
            <a:effectLst/>
          </c:spPr>
        </c:majorGridlines>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1390544"/>
        <c:crosses val="autoZero"/>
        <c:crossBetween val="between"/>
        <c:dispUnits>
          <c:builtInUnit val="millions"/>
        </c:dispUnits>
      </c:valAx>
      <c:spPr>
        <a:noFill/>
        <a:ln>
          <a:noFill/>
        </a:ln>
        <a:effectLst/>
      </c:spPr>
    </c:plotArea>
    <c:legend>
      <c:legendPos val="b"/>
      <c:legendEntry>
        <c:idx val="1"/>
        <c:delete val="1"/>
      </c:legendEntry>
      <c:layout>
        <c:manualLayout>
          <c:xMode val="edge"/>
          <c:yMode val="edge"/>
          <c:x val="0.44075849696003189"/>
          <c:y val="0.91011882220164175"/>
          <c:w val="0.55730123924382868"/>
          <c:h val="8.03574039842370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a:pPr>
      <a:endParaRPr lang="cs-CZ"/>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r>
              <a:rPr lang="cs-CZ" sz="1100" baseline="0"/>
              <a:t>Účastnické fondy</a:t>
            </a:r>
            <a:endParaRPr lang="cs-CZ" sz="1100"/>
          </a:p>
        </c:rich>
      </c:tx>
      <c:layout/>
      <c:overlay val="0"/>
      <c:spPr>
        <a:noFill/>
        <a:ln>
          <a:noFill/>
        </a:ln>
        <a:effectLst/>
      </c:spPr>
      <c:txPr>
        <a:bodyPr rot="0" spcFirstLastPara="1" vertOverflow="ellipsis" vert="horz" wrap="square" anchor="ctr" anchorCtr="1"/>
        <a:lstStyle/>
        <a:p>
          <a:pPr>
            <a:defRPr sz="1100" b="0" i="0" u="none" strike="noStrike" kern="1200" spc="0" baseline="0">
              <a:solidFill>
                <a:schemeClr val="tx1">
                  <a:lumMod val="65000"/>
                  <a:lumOff val="35000"/>
                </a:schemeClr>
              </a:solidFill>
              <a:latin typeface="+mn-lt"/>
              <a:ea typeface="+mn-ea"/>
              <a:cs typeface="+mn-cs"/>
            </a:defRPr>
          </a:pPr>
          <a:endParaRPr lang="cs-CZ"/>
        </a:p>
      </c:txPr>
    </c:title>
    <c:autoTitleDeleted val="0"/>
    <c:plotArea>
      <c:layout>
        <c:manualLayout>
          <c:layoutTarget val="inner"/>
          <c:xMode val="edge"/>
          <c:yMode val="edge"/>
          <c:x val="4.8771121351766512E-2"/>
          <c:y val="0.17661838538288196"/>
          <c:w val="0.90245775729646693"/>
          <c:h val="0.61767634917004444"/>
        </c:manualLayout>
      </c:layout>
      <c:barChart>
        <c:barDir val="col"/>
        <c:grouping val="stacked"/>
        <c:varyColors val="0"/>
        <c:ser>
          <c:idx val="0"/>
          <c:order val="0"/>
          <c:tx>
            <c:strRef>
              <c:f>Sheet1!$A$15</c:f>
              <c:strCache>
                <c:ptCount val="1"/>
                <c:pt idx="0">
                  <c:v>Úplata za obhospodařování</c:v>
                </c:pt>
              </c:strCache>
            </c:strRef>
          </c:tx>
          <c:spPr>
            <a:solidFill>
              <a:schemeClr val="accent1"/>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Sheet1!$B$15:$K$15</c:f>
              <c:numCache>
                <c:formatCode>#,##0</c:formatCode>
                <c:ptCount val="10"/>
                <c:pt idx="0">
                  <c:v>93792</c:v>
                </c:pt>
                <c:pt idx="1">
                  <c:v>168306</c:v>
                </c:pt>
                <c:pt idx="2">
                  <c:v>268284</c:v>
                </c:pt>
                <c:pt idx="3">
                  <c:v>386805</c:v>
                </c:pt>
                <c:pt idx="4">
                  <c:v>515481</c:v>
                </c:pt>
                <c:pt idx="5">
                  <c:v>702499</c:v>
                </c:pt>
                <c:pt idx="6">
                  <c:v>862823</c:v>
                </c:pt>
                <c:pt idx="7">
                  <c:v>1151533</c:v>
                </c:pt>
                <c:pt idx="8">
                  <c:v>1628380</c:v>
                </c:pt>
                <c:pt idx="9">
                  <c:v>2250622</c:v>
                </c:pt>
              </c:numCache>
            </c:numRef>
          </c:val>
          <c:extLst>
            <c:ext xmlns:c16="http://schemas.microsoft.com/office/drawing/2014/chart" uri="{C3380CC4-5D6E-409C-BE32-E72D297353CC}">
              <c16:uniqueId val="{00000000-B5BA-4010-9030-5B22F9866D3B}"/>
            </c:ext>
          </c:extLst>
        </c:ser>
        <c:ser>
          <c:idx val="1"/>
          <c:order val="1"/>
          <c:tx>
            <c:strRef>
              <c:f>Sheet1!$A$16</c:f>
              <c:strCache>
                <c:ptCount val="1"/>
                <c:pt idx="0">
                  <c:v>Úplata za zhodnocení</c:v>
                </c:pt>
              </c:strCache>
            </c:strRef>
          </c:tx>
          <c:spPr>
            <a:solidFill>
              <a:schemeClr val="accent2"/>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Sheet1!$B$16:$K$16</c:f>
              <c:numCache>
                <c:formatCode>#,##0</c:formatCode>
                <c:ptCount val="10"/>
                <c:pt idx="0">
                  <c:v>4873</c:v>
                </c:pt>
                <c:pt idx="1">
                  <c:v>57334</c:v>
                </c:pt>
                <c:pt idx="2">
                  <c:v>15916</c:v>
                </c:pt>
                <c:pt idx="3">
                  <c:v>98516</c:v>
                </c:pt>
                <c:pt idx="4">
                  <c:v>127619</c:v>
                </c:pt>
                <c:pt idx="5">
                  <c:v>722921</c:v>
                </c:pt>
                <c:pt idx="6">
                  <c:v>12847</c:v>
                </c:pt>
                <c:pt idx="7">
                  <c:v>438559</c:v>
                </c:pt>
                <c:pt idx="8">
                  <c:v>2668482</c:v>
                </c:pt>
                <c:pt idx="9">
                  <c:v>2432156</c:v>
                </c:pt>
              </c:numCache>
            </c:numRef>
          </c:val>
          <c:extLst>
            <c:ext xmlns:c16="http://schemas.microsoft.com/office/drawing/2014/chart" uri="{C3380CC4-5D6E-409C-BE32-E72D297353CC}">
              <c16:uniqueId val="{00000001-B5BA-4010-9030-5B22F9866D3B}"/>
            </c:ext>
          </c:extLst>
        </c:ser>
        <c:dLbls>
          <c:showLegendKey val="0"/>
          <c:showVal val="0"/>
          <c:showCatName val="0"/>
          <c:showSerName val="0"/>
          <c:showPercent val="0"/>
          <c:showBubbleSize val="0"/>
        </c:dLbls>
        <c:gapWidth val="150"/>
        <c:overlap val="100"/>
        <c:axId val="571390544"/>
        <c:axId val="571387592"/>
      </c:barChart>
      <c:catAx>
        <c:axId val="571390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1387592"/>
        <c:crosses val="autoZero"/>
        <c:auto val="1"/>
        <c:lblAlgn val="ctr"/>
        <c:lblOffset val="100"/>
        <c:noMultiLvlLbl val="0"/>
      </c:catAx>
      <c:valAx>
        <c:axId val="571387592"/>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571390544"/>
        <c:crosses val="autoZero"/>
        <c:crossBetween val="between"/>
      </c:valAx>
      <c:spPr>
        <a:noFill/>
        <a:ln>
          <a:noFill/>
        </a:ln>
        <a:effectLst/>
      </c:spPr>
    </c:plotArea>
    <c:legend>
      <c:legendPos val="b"/>
      <c:legendEntry>
        <c:idx val="0"/>
        <c:delete val="1"/>
      </c:legendEntry>
      <c:layout>
        <c:manualLayout>
          <c:xMode val="edge"/>
          <c:yMode val="edge"/>
          <c:x val="7.8320067029744467E-3"/>
          <c:y val="0.90535693529458094"/>
          <c:w val="0.47002199413489737"/>
          <c:h val="8.03574039842370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a:pPr>
      <a:endParaRPr lang="cs-CZ"/>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5.3914260717410324E-2"/>
          <c:y val="0.13425925925925927"/>
          <c:w val="0.84896303587051614"/>
          <c:h val="0.58146398366870811"/>
        </c:manualLayout>
      </c:layout>
      <c:barChart>
        <c:barDir val="col"/>
        <c:grouping val="clustered"/>
        <c:varyColors val="0"/>
        <c:ser>
          <c:idx val="0"/>
          <c:order val="0"/>
          <c:tx>
            <c:strRef>
              <c:f>Sheet1!$A$11</c:f>
              <c:strCache>
                <c:ptCount val="1"/>
                <c:pt idx="0">
                  <c:v>Úplata za obhospodařování</c:v>
                </c:pt>
              </c:strCache>
            </c:strRef>
          </c:tx>
          <c:spPr>
            <a:solidFill>
              <a:schemeClr val="accent1"/>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Sheet1!$B$11:$K$11</c:f>
              <c:numCache>
                <c:formatCode>#,##0</c:formatCode>
                <c:ptCount val="10"/>
                <c:pt idx="0">
                  <c:v>2996367</c:v>
                </c:pt>
                <c:pt idx="1">
                  <c:v>3269439</c:v>
                </c:pt>
                <c:pt idx="2">
                  <c:v>3470440</c:v>
                </c:pt>
                <c:pt idx="3">
                  <c:v>3798338</c:v>
                </c:pt>
                <c:pt idx="4">
                  <c:v>4116539</c:v>
                </c:pt>
                <c:pt idx="5">
                  <c:v>4491021</c:v>
                </c:pt>
                <c:pt idx="6">
                  <c:v>4834777</c:v>
                </c:pt>
                <c:pt idx="7">
                  <c:v>5264734</c:v>
                </c:pt>
                <c:pt idx="8">
                  <c:v>5798599</c:v>
                </c:pt>
                <c:pt idx="9">
                  <c:v>5965046</c:v>
                </c:pt>
              </c:numCache>
            </c:numRef>
          </c:val>
          <c:extLst>
            <c:ext xmlns:c16="http://schemas.microsoft.com/office/drawing/2014/chart" uri="{C3380CC4-5D6E-409C-BE32-E72D297353CC}">
              <c16:uniqueId val="{00000000-4CDE-41C7-8D76-B9DF26A4C91C}"/>
            </c:ext>
          </c:extLst>
        </c:ser>
        <c:ser>
          <c:idx val="1"/>
          <c:order val="1"/>
          <c:tx>
            <c:strRef>
              <c:f>Sheet1!$A$12</c:f>
              <c:strCache>
                <c:ptCount val="1"/>
                <c:pt idx="0">
                  <c:v>Úplata za zhodnocení</c:v>
                </c:pt>
              </c:strCache>
            </c:strRef>
          </c:tx>
          <c:spPr>
            <a:solidFill>
              <a:schemeClr val="accent2"/>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Sheet1!$B$12:$K$12</c:f>
              <c:numCache>
                <c:formatCode>#,##0</c:formatCode>
                <c:ptCount val="10"/>
                <c:pt idx="0">
                  <c:v>313749</c:v>
                </c:pt>
                <c:pt idx="1">
                  <c:v>308055</c:v>
                </c:pt>
                <c:pt idx="2">
                  <c:v>351854</c:v>
                </c:pt>
                <c:pt idx="3">
                  <c:v>663573</c:v>
                </c:pt>
                <c:pt idx="4">
                  <c:v>532534</c:v>
                </c:pt>
                <c:pt idx="5">
                  <c:v>878019</c:v>
                </c:pt>
                <c:pt idx="6">
                  <c:v>609103</c:v>
                </c:pt>
                <c:pt idx="7">
                  <c:v>1098989</c:v>
                </c:pt>
                <c:pt idx="8">
                  <c:v>2709456</c:v>
                </c:pt>
                <c:pt idx="9">
                  <c:v>2221048</c:v>
                </c:pt>
              </c:numCache>
            </c:numRef>
          </c:val>
          <c:extLst>
            <c:ext xmlns:c16="http://schemas.microsoft.com/office/drawing/2014/chart" uri="{C3380CC4-5D6E-409C-BE32-E72D297353CC}">
              <c16:uniqueId val="{00000001-4CDE-41C7-8D76-B9DF26A4C91C}"/>
            </c:ext>
          </c:extLst>
        </c:ser>
        <c:ser>
          <c:idx val="2"/>
          <c:order val="2"/>
          <c:tx>
            <c:strRef>
              <c:f>Sheet1!$A$13</c:f>
              <c:strCache>
                <c:ptCount val="1"/>
                <c:pt idx="0">
                  <c:v>Zisk nebo ztráta za účetní období po zdanění</c:v>
                </c:pt>
              </c:strCache>
            </c:strRef>
          </c:tx>
          <c:spPr>
            <a:solidFill>
              <a:schemeClr val="accent3"/>
            </a:solidFill>
            <a:ln>
              <a:noFill/>
            </a:ln>
            <a:effectLst/>
          </c:spPr>
          <c:invertIfNegative val="0"/>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Sheet1!$B$13:$K$13</c:f>
              <c:numCache>
                <c:formatCode>#,##0</c:formatCode>
                <c:ptCount val="10"/>
                <c:pt idx="0">
                  <c:v>1454402</c:v>
                </c:pt>
                <c:pt idx="1">
                  <c:v>1383350</c:v>
                </c:pt>
                <c:pt idx="2">
                  <c:v>1421059</c:v>
                </c:pt>
                <c:pt idx="3">
                  <c:v>1913261</c:v>
                </c:pt>
                <c:pt idx="4">
                  <c:v>1871659</c:v>
                </c:pt>
                <c:pt idx="5">
                  <c:v>2032346</c:v>
                </c:pt>
                <c:pt idx="6">
                  <c:v>2140151</c:v>
                </c:pt>
                <c:pt idx="7">
                  <c:v>3098474</c:v>
                </c:pt>
                <c:pt idx="8">
                  <c:v>4456656</c:v>
                </c:pt>
                <c:pt idx="9">
                  <c:v>3855052</c:v>
                </c:pt>
              </c:numCache>
            </c:numRef>
          </c:val>
          <c:extLst>
            <c:ext xmlns:c16="http://schemas.microsoft.com/office/drawing/2014/chart" uri="{C3380CC4-5D6E-409C-BE32-E72D297353CC}">
              <c16:uniqueId val="{00000002-4CDE-41C7-8D76-B9DF26A4C91C}"/>
            </c:ext>
          </c:extLst>
        </c:ser>
        <c:dLbls>
          <c:showLegendKey val="0"/>
          <c:showVal val="0"/>
          <c:showCatName val="0"/>
          <c:showSerName val="0"/>
          <c:showPercent val="0"/>
          <c:showBubbleSize val="0"/>
        </c:dLbls>
        <c:gapWidth val="219"/>
        <c:overlap val="-27"/>
        <c:axId val="576014016"/>
        <c:axId val="576015328"/>
      </c:barChart>
      <c:lineChart>
        <c:grouping val="standard"/>
        <c:varyColors val="0"/>
        <c:ser>
          <c:idx val="3"/>
          <c:order val="3"/>
          <c:tx>
            <c:strRef>
              <c:f>Sheet1!$A$14</c:f>
              <c:strCache>
                <c:ptCount val="1"/>
                <c:pt idx="0">
                  <c:v>Kapitál ke kapitálovým požadavkům (pravá osa)</c:v>
                </c:pt>
              </c:strCache>
            </c:strRef>
          </c:tx>
          <c:spPr>
            <a:ln w="28575" cap="rnd">
              <a:solidFill>
                <a:schemeClr val="accent4"/>
              </a:solidFill>
              <a:round/>
            </a:ln>
            <a:effectLst/>
          </c:spPr>
          <c:marker>
            <c:symbol val="none"/>
          </c:marker>
          <c:cat>
            <c:numRef>
              <c:f>Sheet1!$B$10:$K$10</c:f>
              <c:numCache>
                <c:formatCode>General</c:formatCode>
                <c:ptCount val="10"/>
                <c:pt idx="0">
                  <c:v>2016</c:v>
                </c:pt>
                <c:pt idx="1">
                  <c:v>2017</c:v>
                </c:pt>
                <c:pt idx="2">
                  <c:v>2018</c:v>
                </c:pt>
                <c:pt idx="3">
                  <c:v>2019</c:v>
                </c:pt>
                <c:pt idx="4">
                  <c:v>2020</c:v>
                </c:pt>
                <c:pt idx="5">
                  <c:v>2021</c:v>
                </c:pt>
                <c:pt idx="6">
                  <c:v>2022</c:v>
                </c:pt>
                <c:pt idx="7">
                  <c:v>2023</c:v>
                </c:pt>
                <c:pt idx="8">
                  <c:v>2024</c:v>
                </c:pt>
                <c:pt idx="9">
                  <c:v>2025</c:v>
                </c:pt>
              </c:numCache>
            </c:numRef>
          </c:cat>
          <c:val>
            <c:numRef>
              <c:f>Sheet1!$B$14:$K$14</c:f>
              <c:numCache>
                <c:formatCode>0%</c:formatCode>
                <c:ptCount val="10"/>
                <c:pt idx="0">
                  <c:v>1.1993215617340551</c:v>
                </c:pt>
                <c:pt idx="1">
                  <c:v>1.397032346502445</c:v>
                </c:pt>
                <c:pt idx="2">
                  <c:v>1.5379598447443101</c:v>
                </c:pt>
                <c:pt idx="3">
                  <c:v>1.6779475803587527</c:v>
                </c:pt>
                <c:pt idx="4">
                  <c:v>2.1587360329537031</c:v>
                </c:pt>
                <c:pt idx="5">
                  <c:v>2.5480446277740034</c:v>
                </c:pt>
                <c:pt idx="6">
                  <c:v>2.6817312165855243</c:v>
                </c:pt>
                <c:pt idx="7">
                  <c:v>3.0908536619396028</c:v>
                </c:pt>
                <c:pt idx="8">
                  <c:v>4.5155419110794366</c:v>
                </c:pt>
                <c:pt idx="9">
                  <c:v>4.5855504936403735</c:v>
                </c:pt>
              </c:numCache>
            </c:numRef>
          </c:val>
          <c:smooth val="0"/>
          <c:extLst>
            <c:ext xmlns:c16="http://schemas.microsoft.com/office/drawing/2014/chart" uri="{C3380CC4-5D6E-409C-BE32-E72D297353CC}">
              <c16:uniqueId val="{00000003-4CDE-41C7-8D76-B9DF26A4C91C}"/>
            </c:ext>
          </c:extLst>
        </c:ser>
        <c:dLbls>
          <c:showLegendKey val="0"/>
          <c:showVal val="0"/>
          <c:showCatName val="0"/>
          <c:showSerName val="0"/>
          <c:showPercent val="0"/>
          <c:showBubbleSize val="0"/>
        </c:dLbls>
        <c:marker val="1"/>
        <c:smooth val="0"/>
        <c:axId val="576017952"/>
        <c:axId val="576015984"/>
      </c:lineChart>
      <c:catAx>
        <c:axId val="57601401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cs-CZ"/>
                  <a:t>mld.</a:t>
                </a:r>
                <a:r>
                  <a:rPr lang="cs-CZ" baseline="0"/>
                  <a:t> Kč</a:t>
                </a:r>
                <a:endParaRPr lang="cs-CZ"/>
              </a:p>
            </c:rich>
          </c:tx>
          <c:layout>
            <c:manualLayout>
              <c:xMode val="edge"/>
              <c:yMode val="edge"/>
              <c:x val="1.485411198600175E-2"/>
              <c:y val="2.682633420822397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6015328"/>
        <c:crosses val="autoZero"/>
        <c:auto val="1"/>
        <c:lblAlgn val="ctr"/>
        <c:lblOffset val="100"/>
        <c:noMultiLvlLbl val="0"/>
      </c:catAx>
      <c:valAx>
        <c:axId val="57601532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6014016"/>
        <c:crosses val="autoZero"/>
        <c:crossBetween val="between"/>
        <c:dispUnits>
          <c:builtInUnit val="millions"/>
        </c:dispUnits>
      </c:valAx>
      <c:valAx>
        <c:axId val="576015984"/>
        <c:scaling>
          <c:orientation val="minMax"/>
          <c:max val="7"/>
        </c:scaling>
        <c:delete val="0"/>
        <c:axPos val="r"/>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crossAx val="576017952"/>
        <c:crosses val="max"/>
        <c:crossBetween val="between"/>
        <c:majorUnit val="1"/>
      </c:valAx>
      <c:catAx>
        <c:axId val="576017952"/>
        <c:scaling>
          <c:orientation val="minMax"/>
        </c:scaling>
        <c:delete val="1"/>
        <c:axPos val="b"/>
        <c:numFmt formatCode="General" sourceLinked="1"/>
        <c:majorTickMark val="none"/>
        <c:minorTickMark val="none"/>
        <c:tickLblPos val="nextTo"/>
        <c:crossAx val="576015984"/>
        <c:crosses val="autoZero"/>
        <c:auto val="1"/>
        <c:lblAlgn val="ctr"/>
        <c:lblOffset val="100"/>
        <c:noMultiLvlLbl val="0"/>
      </c:catAx>
      <c:spPr>
        <a:noFill/>
        <a:ln>
          <a:noFill/>
        </a:ln>
        <a:effectLst/>
      </c:spPr>
    </c:plotArea>
    <c:legend>
      <c:legendPos val="b"/>
      <c:layout>
        <c:manualLayout>
          <c:xMode val="edge"/>
          <c:yMode val="edge"/>
          <c:x val="2.406124234470693E-2"/>
          <c:y val="0.8101829979585885"/>
          <c:w val="0.94354418197725287"/>
          <c:h val="0.1620392242636336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chart>
  <c:spPr>
    <a:solidFill>
      <a:schemeClr val="bg1"/>
    </a:solidFill>
    <a:ln w="9525" cap="flat" cmpd="sng" algn="ctr">
      <a:noFill/>
      <a:round/>
    </a:ln>
    <a:effectLst/>
  </c:spPr>
  <c:txPr>
    <a:bodyPr/>
    <a:lstStyle/>
    <a:p>
      <a:pPr>
        <a:defRPr/>
      </a:pPr>
      <a:endParaRPr lang="cs-CZ"/>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0261142436059849E-2"/>
          <c:y val="0.15257720444518902"/>
          <c:w val="0.77517938018000121"/>
          <c:h val="0.77497192283588667"/>
        </c:manualLayout>
      </c:layout>
      <c:scatterChart>
        <c:scatterStyle val="lineMarker"/>
        <c:varyColors val="0"/>
        <c:ser>
          <c:idx val="0"/>
          <c:order val="0"/>
          <c:tx>
            <c:strRef>
              <c:f>'Grafy náklady PF vs AUM (2)'!$U$5</c:f>
              <c:strCache>
                <c:ptCount val="1"/>
                <c:pt idx="0">
                  <c:v>1</c:v>
                </c:pt>
              </c:strCache>
            </c:strRef>
          </c:tx>
          <c:spPr>
            <a:ln w="19050" cap="rnd">
              <a:solidFill>
                <a:schemeClr val="accent1">
                  <a:alpha val="60000"/>
                </a:schemeClr>
              </a:solidFill>
              <a:round/>
            </a:ln>
            <a:effectLst/>
          </c:spPr>
          <c:marker>
            <c:symbol val="circle"/>
            <c:size val="6"/>
            <c:spPr>
              <a:solidFill>
                <a:schemeClr val="lt1"/>
              </a:solidFill>
              <a:ln w="38100">
                <a:solidFill>
                  <a:schemeClr val="accent1">
                    <a:alpha val="60000"/>
                  </a:schemeClr>
                </a:solidFill>
              </a:ln>
              <a:effectLst/>
            </c:spPr>
          </c:marker>
          <c:xVal>
            <c:numRef>
              <c:f>Data!$V$3:$V$11</c:f>
              <c:numCache>
                <c:formatCode>#,##0</c:formatCode>
                <c:ptCount val="9"/>
                <c:pt idx="0">
                  <c:v>149761000</c:v>
                </c:pt>
                <c:pt idx="1">
                  <c:v>129073000</c:v>
                </c:pt>
                <c:pt idx="2">
                  <c:v>122257000</c:v>
                </c:pt>
                <c:pt idx="3">
                  <c:v>116970000</c:v>
                </c:pt>
                <c:pt idx="4">
                  <c:v>111832000</c:v>
                </c:pt>
                <c:pt idx="5">
                  <c:v>103050000</c:v>
                </c:pt>
                <c:pt idx="6">
                  <c:v>93320000</c:v>
                </c:pt>
                <c:pt idx="7">
                  <c:v>84386000</c:v>
                </c:pt>
                <c:pt idx="8">
                  <c:v>77105400</c:v>
                </c:pt>
              </c:numCache>
            </c:numRef>
          </c:xVal>
          <c:yVal>
            <c:numRef>
              <c:f>Data!$X$3:$X$11</c:f>
              <c:numCache>
                <c:formatCode>0.00%</c:formatCode>
                <c:ptCount val="9"/>
                <c:pt idx="0">
                  <c:v>3.263847062987026E-3</c:v>
                </c:pt>
                <c:pt idx="1">
                  <c:v>4.082062088895431E-3</c:v>
                </c:pt>
                <c:pt idx="2">
                  <c:v>3.4757028227422561E-3</c:v>
                </c:pt>
                <c:pt idx="3">
                  <c:v>3.7176455501410619E-3</c:v>
                </c:pt>
                <c:pt idx="4">
                  <c:v>4.1988697331711853E-3</c:v>
                </c:pt>
                <c:pt idx="5">
                  <c:v>4.0614167879670067E-3</c:v>
                </c:pt>
                <c:pt idx="6">
                  <c:v>4.8587869695670806E-3</c:v>
                </c:pt>
                <c:pt idx="7">
                  <c:v>4.8912852842888628E-3</c:v>
                </c:pt>
                <c:pt idx="8">
                  <c:v>5.246688299392779E-3</c:v>
                </c:pt>
              </c:numCache>
            </c:numRef>
          </c:yVal>
          <c:smooth val="0"/>
          <c:extLst>
            <c:ext xmlns:c16="http://schemas.microsoft.com/office/drawing/2014/chart" uri="{C3380CC4-5D6E-409C-BE32-E72D297353CC}">
              <c16:uniqueId val="{00000000-4DE5-4DFA-ABE4-C472EEFAEF1F}"/>
            </c:ext>
          </c:extLst>
        </c:ser>
        <c:ser>
          <c:idx val="1"/>
          <c:order val="1"/>
          <c:tx>
            <c:strRef>
              <c:f>'Grafy náklady PF vs AUM (2)'!$U$6</c:f>
              <c:strCache>
                <c:ptCount val="1"/>
                <c:pt idx="0">
                  <c:v>2</c:v>
                </c:pt>
              </c:strCache>
            </c:strRef>
          </c:tx>
          <c:spPr>
            <a:ln w="19050" cap="rnd">
              <a:solidFill>
                <a:schemeClr val="accent2">
                  <a:alpha val="60000"/>
                </a:schemeClr>
              </a:solidFill>
              <a:round/>
            </a:ln>
            <a:effectLst/>
          </c:spPr>
          <c:marker>
            <c:symbol val="circle"/>
            <c:size val="6"/>
            <c:spPr>
              <a:solidFill>
                <a:schemeClr val="lt1"/>
              </a:solidFill>
              <a:ln w="38100">
                <a:solidFill>
                  <a:schemeClr val="accent2">
                    <a:alpha val="60000"/>
                  </a:schemeClr>
                </a:solidFill>
              </a:ln>
              <a:effectLst/>
            </c:spPr>
          </c:marker>
          <c:xVal>
            <c:numRef>
              <c:f>Data!$V$19:$V$27</c:f>
              <c:numCache>
                <c:formatCode>#,##0</c:formatCode>
                <c:ptCount val="9"/>
                <c:pt idx="0">
                  <c:v>139165196</c:v>
                </c:pt>
                <c:pt idx="1">
                  <c:v>134781707</c:v>
                </c:pt>
                <c:pt idx="2">
                  <c:v>138273053</c:v>
                </c:pt>
                <c:pt idx="3">
                  <c:v>138516062</c:v>
                </c:pt>
                <c:pt idx="4">
                  <c:v>136289348</c:v>
                </c:pt>
                <c:pt idx="5">
                  <c:v>128071120</c:v>
                </c:pt>
                <c:pt idx="6">
                  <c:v>118711215</c:v>
                </c:pt>
                <c:pt idx="7">
                  <c:v>109820811</c:v>
                </c:pt>
                <c:pt idx="8">
                  <c:v>102838625</c:v>
                </c:pt>
              </c:numCache>
            </c:numRef>
          </c:xVal>
          <c:yVal>
            <c:numRef>
              <c:f>Data!$X$19:$X$27</c:f>
              <c:numCache>
                <c:formatCode>0.00%</c:formatCode>
                <c:ptCount val="9"/>
                <c:pt idx="0">
                  <c:v>5.0920059064193035E-3</c:v>
                </c:pt>
                <c:pt idx="1">
                  <c:v>4.2106530079783011E-3</c:v>
                </c:pt>
                <c:pt idx="2">
                  <c:v>3.9167646063329488E-3</c:v>
                </c:pt>
                <c:pt idx="3">
                  <c:v>3.843077779672945E-3</c:v>
                </c:pt>
                <c:pt idx="4">
                  <c:v>3.7701405688726312E-3</c:v>
                </c:pt>
                <c:pt idx="5">
                  <c:v>3.3426427441252955E-3</c:v>
                </c:pt>
                <c:pt idx="6">
                  <c:v>2.6507099603015603E-3</c:v>
                </c:pt>
                <c:pt idx="7">
                  <c:v>2.9285524034237918E-3</c:v>
                </c:pt>
                <c:pt idx="8">
                  <c:v>2.952246784707594E-3</c:v>
                </c:pt>
              </c:numCache>
            </c:numRef>
          </c:yVal>
          <c:smooth val="0"/>
          <c:extLst>
            <c:ext xmlns:c16="http://schemas.microsoft.com/office/drawing/2014/chart" uri="{C3380CC4-5D6E-409C-BE32-E72D297353CC}">
              <c16:uniqueId val="{00000001-4DE5-4DFA-ABE4-C472EEFAEF1F}"/>
            </c:ext>
          </c:extLst>
        </c:ser>
        <c:ser>
          <c:idx val="2"/>
          <c:order val="2"/>
          <c:tx>
            <c:strRef>
              <c:f>'Grafy náklady PF vs AUM (2)'!$U$7</c:f>
              <c:strCache>
                <c:ptCount val="1"/>
                <c:pt idx="0">
                  <c:v>3</c:v>
                </c:pt>
              </c:strCache>
            </c:strRef>
          </c:tx>
          <c:spPr>
            <a:ln w="19050" cap="rnd">
              <a:solidFill>
                <a:schemeClr val="accent3">
                  <a:alpha val="60000"/>
                </a:schemeClr>
              </a:solidFill>
              <a:round/>
            </a:ln>
            <a:effectLst/>
          </c:spPr>
          <c:marker>
            <c:symbol val="circle"/>
            <c:size val="6"/>
            <c:spPr>
              <a:solidFill>
                <a:schemeClr val="lt1"/>
              </a:solidFill>
              <a:ln w="38100">
                <a:solidFill>
                  <a:schemeClr val="accent3">
                    <a:alpha val="60000"/>
                  </a:schemeClr>
                </a:solidFill>
              </a:ln>
              <a:effectLst/>
            </c:spPr>
          </c:marker>
          <c:xVal>
            <c:numRef>
              <c:f>Data!$V$35:$V$43</c:f>
              <c:numCache>
                <c:formatCode>#,##0</c:formatCode>
                <c:ptCount val="9"/>
                <c:pt idx="0">
                  <c:v>82855482</c:v>
                </c:pt>
                <c:pt idx="1">
                  <c:v>73566845</c:v>
                </c:pt>
                <c:pt idx="2">
                  <c:v>71908514</c:v>
                </c:pt>
                <c:pt idx="3">
                  <c:v>73388534</c:v>
                </c:pt>
                <c:pt idx="4">
                  <c:v>69983874</c:v>
                </c:pt>
                <c:pt idx="5">
                  <c:v>65793634</c:v>
                </c:pt>
                <c:pt idx="6">
                  <c:v>60631317</c:v>
                </c:pt>
                <c:pt idx="7">
                  <c:v>54992840</c:v>
                </c:pt>
                <c:pt idx="8">
                  <c:v>51615297</c:v>
                </c:pt>
              </c:numCache>
            </c:numRef>
          </c:xVal>
          <c:yVal>
            <c:numRef>
              <c:f>Data!$X$35:$X$43</c:f>
              <c:numCache>
                <c:formatCode>0.00%</c:formatCode>
                <c:ptCount val="9"/>
                <c:pt idx="0">
                  <c:v>5.2464241291843546E-3</c:v>
                </c:pt>
                <c:pt idx="1">
                  <c:v>5.2522573178175576E-3</c:v>
                </c:pt>
                <c:pt idx="2">
                  <c:v>4.6391863973159007E-3</c:v>
                </c:pt>
                <c:pt idx="3">
                  <c:v>4.5785898925300786E-3</c:v>
                </c:pt>
                <c:pt idx="4">
                  <c:v>4.7785151190687155E-3</c:v>
                </c:pt>
                <c:pt idx="5">
                  <c:v>4.7771339093384017E-3</c:v>
                </c:pt>
                <c:pt idx="6">
                  <c:v>4.9806604068983028E-3</c:v>
                </c:pt>
                <c:pt idx="7">
                  <c:v>5.1725824670993533E-3</c:v>
                </c:pt>
                <c:pt idx="8">
                  <c:v>5.3105768237660242E-3</c:v>
                </c:pt>
              </c:numCache>
            </c:numRef>
          </c:yVal>
          <c:smooth val="0"/>
          <c:extLst>
            <c:ext xmlns:c16="http://schemas.microsoft.com/office/drawing/2014/chart" uri="{C3380CC4-5D6E-409C-BE32-E72D297353CC}">
              <c16:uniqueId val="{00000002-4DE5-4DFA-ABE4-C472EEFAEF1F}"/>
            </c:ext>
          </c:extLst>
        </c:ser>
        <c:ser>
          <c:idx val="3"/>
          <c:order val="3"/>
          <c:tx>
            <c:strRef>
              <c:f>'Grafy náklady PF vs AUM (2)'!$U$8</c:f>
              <c:strCache>
                <c:ptCount val="1"/>
                <c:pt idx="0">
                  <c:v>4</c:v>
                </c:pt>
              </c:strCache>
            </c:strRef>
          </c:tx>
          <c:spPr>
            <a:ln w="19050" cap="rnd">
              <a:solidFill>
                <a:schemeClr val="accent4">
                  <a:alpha val="60000"/>
                </a:schemeClr>
              </a:solidFill>
              <a:round/>
            </a:ln>
            <a:effectLst/>
          </c:spPr>
          <c:marker>
            <c:symbol val="circle"/>
            <c:size val="6"/>
            <c:spPr>
              <a:solidFill>
                <a:schemeClr val="lt1"/>
              </a:solidFill>
              <a:ln w="38100">
                <a:solidFill>
                  <a:schemeClr val="accent4">
                    <a:alpha val="60000"/>
                  </a:schemeClr>
                </a:solidFill>
              </a:ln>
              <a:effectLst/>
            </c:spPr>
          </c:marker>
          <c:xVal>
            <c:numRef>
              <c:f>Data!$V$123:$V$131</c:f>
              <c:numCache>
                <c:formatCode>#,##0</c:formatCode>
                <c:ptCount val="9"/>
                <c:pt idx="0">
                  <c:v>78073846</c:v>
                </c:pt>
                <c:pt idx="1">
                  <c:v>73370571</c:v>
                </c:pt>
                <c:pt idx="2">
                  <c:v>74091558</c:v>
                </c:pt>
                <c:pt idx="3">
                  <c:v>74427656</c:v>
                </c:pt>
                <c:pt idx="4">
                  <c:v>72053247</c:v>
                </c:pt>
                <c:pt idx="5">
                  <c:v>68551091</c:v>
                </c:pt>
                <c:pt idx="6">
                  <c:v>63773595</c:v>
                </c:pt>
                <c:pt idx="7">
                  <c:v>58850207</c:v>
                </c:pt>
                <c:pt idx="8">
                  <c:v>54590966</c:v>
                </c:pt>
              </c:numCache>
            </c:numRef>
          </c:xVal>
          <c:yVal>
            <c:numRef>
              <c:f>Data!$X$123:$X$131</c:f>
              <c:numCache>
                <c:formatCode>0.00%</c:formatCode>
                <c:ptCount val="9"/>
                <c:pt idx="0">
                  <c:v>5.1781104776111577E-3</c:v>
                </c:pt>
                <c:pt idx="1">
                  <c:v>5.1009825179089852E-3</c:v>
                </c:pt>
                <c:pt idx="2">
                  <c:v>4.4472812948541315E-3</c:v>
                </c:pt>
                <c:pt idx="3">
                  <c:v>3.8461778240067106E-3</c:v>
                </c:pt>
                <c:pt idx="4">
                  <c:v>3.725217268834533E-3</c:v>
                </c:pt>
                <c:pt idx="5">
                  <c:v>3.5407313940488561E-3</c:v>
                </c:pt>
                <c:pt idx="6">
                  <c:v>3.6922334392470741E-3</c:v>
                </c:pt>
                <c:pt idx="7">
                  <c:v>3.7574889073882104E-3</c:v>
                </c:pt>
                <c:pt idx="8">
                  <c:v>3.5593984543156828E-3</c:v>
                </c:pt>
              </c:numCache>
            </c:numRef>
          </c:yVal>
          <c:smooth val="0"/>
          <c:extLst>
            <c:ext xmlns:c16="http://schemas.microsoft.com/office/drawing/2014/chart" uri="{C3380CC4-5D6E-409C-BE32-E72D297353CC}">
              <c16:uniqueId val="{00000003-4DE5-4DFA-ABE4-C472EEFAEF1F}"/>
            </c:ext>
          </c:extLst>
        </c:ser>
        <c:ser>
          <c:idx val="4"/>
          <c:order val="4"/>
          <c:tx>
            <c:strRef>
              <c:f>'Grafy náklady PF vs AUM (2)'!$U$9</c:f>
              <c:strCache>
                <c:ptCount val="1"/>
                <c:pt idx="0">
                  <c:v>5</c:v>
                </c:pt>
              </c:strCache>
            </c:strRef>
          </c:tx>
          <c:spPr>
            <a:ln w="19050" cap="rnd">
              <a:solidFill>
                <a:schemeClr val="accent5">
                  <a:alpha val="60000"/>
                </a:schemeClr>
              </a:solidFill>
              <a:round/>
            </a:ln>
            <a:effectLst/>
          </c:spPr>
          <c:marker>
            <c:symbol val="circle"/>
            <c:size val="6"/>
            <c:spPr>
              <a:solidFill>
                <a:schemeClr val="lt1"/>
              </a:solidFill>
              <a:ln w="38100">
                <a:solidFill>
                  <a:schemeClr val="accent5">
                    <a:alpha val="60000"/>
                  </a:schemeClr>
                </a:solidFill>
              </a:ln>
              <a:effectLst/>
            </c:spPr>
          </c:marker>
          <c:xVal>
            <c:numRef>
              <c:f>Data!$V$107:$V$115</c:f>
              <c:numCache>
                <c:formatCode>#,##0</c:formatCode>
                <c:ptCount val="9"/>
                <c:pt idx="0">
                  <c:v>52481821</c:v>
                </c:pt>
                <c:pt idx="1">
                  <c:v>48949445</c:v>
                </c:pt>
                <c:pt idx="2">
                  <c:v>49104344</c:v>
                </c:pt>
                <c:pt idx="3">
                  <c:v>48720588</c:v>
                </c:pt>
                <c:pt idx="4">
                  <c:v>47400065</c:v>
                </c:pt>
                <c:pt idx="5">
                  <c:v>45425017</c:v>
                </c:pt>
                <c:pt idx="6">
                  <c:v>42681815</c:v>
                </c:pt>
                <c:pt idx="7">
                  <c:v>39811865</c:v>
                </c:pt>
                <c:pt idx="8">
                  <c:v>37389383</c:v>
                </c:pt>
              </c:numCache>
            </c:numRef>
          </c:xVal>
          <c:yVal>
            <c:numRef>
              <c:f>Data!$X$107:$X$115</c:f>
              <c:numCache>
                <c:formatCode>0.00%</c:formatCode>
                <c:ptCount val="9"/>
                <c:pt idx="0">
                  <c:v>8.6833686658852778E-3</c:v>
                </c:pt>
                <c:pt idx="1">
                  <c:v>7.7073192556115803E-3</c:v>
                </c:pt>
                <c:pt idx="2">
                  <c:v>6.3122114002785576E-3</c:v>
                </c:pt>
                <c:pt idx="3">
                  <c:v>5.0448282767030644E-3</c:v>
                </c:pt>
                <c:pt idx="4">
                  <c:v>5.2845075212449603E-3</c:v>
                </c:pt>
                <c:pt idx="5">
                  <c:v>5.5666462381290908E-3</c:v>
                </c:pt>
                <c:pt idx="6">
                  <c:v>4.395267633300037E-3</c:v>
                </c:pt>
                <c:pt idx="7">
                  <c:v>4.9109731483315336E-3</c:v>
                </c:pt>
                <c:pt idx="8">
                  <c:v>4.8845684348415167E-3</c:v>
                </c:pt>
              </c:numCache>
            </c:numRef>
          </c:yVal>
          <c:smooth val="0"/>
          <c:extLst>
            <c:ext xmlns:c16="http://schemas.microsoft.com/office/drawing/2014/chart" uri="{C3380CC4-5D6E-409C-BE32-E72D297353CC}">
              <c16:uniqueId val="{00000004-4DE5-4DFA-ABE4-C472EEFAEF1F}"/>
            </c:ext>
          </c:extLst>
        </c:ser>
        <c:ser>
          <c:idx val="5"/>
          <c:order val="5"/>
          <c:tx>
            <c:strRef>
              <c:f>'Grafy náklady PF vs AUM (2)'!$U$10</c:f>
              <c:strCache>
                <c:ptCount val="1"/>
                <c:pt idx="0">
                  <c:v>6</c:v>
                </c:pt>
              </c:strCache>
            </c:strRef>
          </c:tx>
          <c:spPr>
            <a:ln w="19050" cap="rnd">
              <a:solidFill>
                <a:schemeClr val="accent6">
                  <a:alpha val="60000"/>
                </a:schemeClr>
              </a:solidFill>
              <a:round/>
            </a:ln>
            <a:effectLst/>
          </c:spPr>
          <c:marker>
            <c:symbol val="circle"/>
            <c:size val="6"/>
            <c:spPr>
              <a:solidFill>
                <a:schemeClr val="lt1"/>
              </a:solidFill>
              <a:ln w="38100">
                <a:solidFill>
                  <a:schemeClr val="accent6">
                    <a:alpha val="60000"/>
                  </a:schemeClr>
                </a:solidFill>
              </a:ln>
              <a:effectLst/>
            </c:spPr>
          </c:marker>
          <c:xVal>
            <c:numRef>
              <c:f>Data!$V$91:$V$99</c:f>
              <c:numCache>
                <c:formatCode>#,##0</c:formatCode>
                <c:ptCount val="9"/>
                <c:pt idx="0">
                  <c:v>65472716</c:v>
                </c:pt>
                <c:pt idx="1">
                  <c:v>65318711</c:v>
                </c:pt>
                <c:pt idx="2">
                  <c:v>66105959</c:v>
                </c:pt>
                <c:pt idx="3">
                  <c:v>64862222</c:v>
                </c:pt>
                <c:pt idx="4">
                  <c:v>61908179</c:v>
                </c:pt>
                <c:pt idx="5">
                  <c:v>57404360</c:v>
                </c:pt>
                <c:pt idx="6">
                  <c:v>52439960</c:v>
                </c:pt>
                <c:pt idx="7">
                  <c:v>47452652</c:v>
                </c:pt>
                <c:pt idx="8">
                  <c:v>43012186</c:v>
                </c:pt>
              </c:numCache>
            </c:numRef>
          </c:xVal>
          <c:yVal>
            <c:numRef>
              <c:f>Data!$X$91:$X$99</c:f>
              <c:numCache>
                <c:formatCode>0.00%</c:formatCode>
                <c:ptCount val="9"/>
                <c:pt idx="0">
                  <c:v>3.6310392255607662E-3</c:v>
                </c:pt>
                <c:pt idx="1">
                  <c:v>5.3352093858680099E-3</c:v>
                </c:pt>
                <c:pt idx="2">
                  <c:v>2.6738890513637358E-3</c:v>
                </c:pt>
                <c:pt idx="3">
                  <c:v>3.2506286941572861E-3</c:v>
                </c:pt>
                <c:pt idx="4">
                  <c:v>4.9491683481757715E-3</c:v>
                </c:pt>
                <c:pt idx="5">
                  <c:v>5.8503918517687509E-3</c:v>
                </c:pt>
                <c:pt idx="6">
                  <c:v>5.3883145601178947E-3</c:v>
                </c:pt>
                <c:pt idx="7">
                  <c:v>6.3299728748563936E-3</c:v>
                </c:pt>
                <c:pt idx="8">
                  <c:v>7.2937701887553445E-3</c:v>
                </c:pt>
              </c:numCache>
            </c:numRef>
          </c:yVal>
          <c:smooth val="0"/>
          <c:extLst>
            <c:ext xmlns:c16="http://schemas.microsoft.com/office/drawing/2014/chart" uri="{C3380CC4-5D6E-409C-BE32-E72D297353CC}">
              <c16:uniqueId val="{00000005-4DE5-4DFA-ABE4-C472EEFAEF1F}"/>
            </c:ext>
          </c:extLst>
        </c:ser>
        <c:ser>
          <c:idx val="6"/>
          <c:order val="6"/>
          <c:tx>
            <c:strRef>
              <c:f>'Grafy náklady PF vs AUM (2)'!$U$11</c:f>
              <c:strCache>
                <c:ptCount val="1"/>
                <c:pt idx="0">
                  <c:v>7</c:v>
                </c:pt>
              </c:strCache>
            </c:strRef>
          </c:tx>
          <c:spPr>
            <a:ln w="19050" cap="rnd">
              <a:solidFill>
                <a:schemeClr val="accent1">
                  <a:lumMod val="60000"/>
                  <a:alpha val="60000"/>
                </a:schemeClr>
              </a:solidFill>
              <a:round/>
            </a:ln>
            <a:effectLst/>
          </c:spPr>
          <c:marker>
            <c:symbol val="circle"/>
            <c:size val="6"/>
            <c:spPr>
              <a:solidFill>
                <a:schemeClr val="lt1"/>
              </a:solidFill>
              <a:ln w="38100">
                <a:solidFill>
                  <a:schemeClr val="accent1">
                    <a:lumMod val="60000"/>
                    <a:alpha val="60000"/>
                  </a:schemeClr>
                </a:solidFill>
              </a:ln>
              <a:effectLst/>
            </c:spPr>
          </c:marker>
          <c:xVal>
            <c:numRef>
              <c:f>Data!$V$67:$V$75</c:f>
              <c:numCache>
                <c:formatCode>#,##0</c:formatCode>
                <c:ptCount val="9"/>
                <c:pt idx="0">
                  <c:v>42944043</c:v>
                </c:pt>
                <c:pt idx="1">
                  <c:v>46139337</c:v>
                </c:pt>
                <c:pt idx="2">
                  <c:v>50086391</c:v>
                </c:pt>
                <c:pt idx="3">
                  <c:v>52483381</c:v>
                </c:pt>
                <c:pt idx="4">
                  <c:v>49264905</c:v>
                </c:pt>
                <c:pt idx="5">
                  <c:v>45607551</c:v>
                </c:pt>
                <c:pt idx="6">
                  <c:v>43766746</c:v>
                </c:pt>
                <c:pt idx="7">
                  <c:v>44291647</c:v>
                </c:pt>
                <c:pt idx="8">
                  <c:v>42267619</c:v>
                </c:pt>
              </c:numCache>
            </c:numRef>
          </c:xVal>
          <c:yVal>
            <c:numRef>
              <c:f>Data!$X$67:$X$75</c:f>
              <c:numCache>
                <c:formatCode>0.00%</c:formatCode>
                <c:ptCount val="9"/>
                <c:pt idx="0">
                  <c:v>1.3244211775775281E-3</c:v>
                </c:pt>
                <c:pt idx="1">
                  <c:v>-1.1682222481870512E-3</c:v>
                </c:pt>
                <c:pt idx="2">
                  <c:v>4.5196308913533021E-3</c:v>
                </c:pt>
                <c:pt idx="3">
                  <c:v>1.038595436524945E-2</c:v>
                </c:pt>
                <c:pt idx="4">
                  <c:v>1.048689731564488E-2</c:v>
                </c:pt>
                <c:pt idx="5">
                  <c:v>6.7739221516191477E-3</c:v>
                </c:pt>
                <c:pt idx="6">
                  <c:v>5.9928147274188491E-3</c:v>
                </c:pt>
                <c:pt idx="7">
                  <c:v>5.9399461934662307E-3</c:v>
                </c:pt>
                <c:pt idx="8">
                  <c:v>8.0924123026660192E-3</c:v>
                </c:pt>
              </c:numCache>
            </c:numRef>
          </c:yVal>
          <c:smooth val="0"/>
          <c:extLst>
            <c:ext xmlns:c16="http://schemas.microsoft.com/office/drawing/2014/chart" uri="{C3380CC4-5D6E-409C-BE32-E72D297353CC}">
              <c16:uniqueId val="{00000006-4DE5-4DFA-ABE4-C472EEFAEF1F}"/>
            </c:ext>
          </c:extLst>
        </c:ser>
        <c:ser>
          <c:idx val="7"/>
          <c:order val="7"/>
          <c:tx>
            <c:strRef>
              <c:f>'Grafy náklady PF vs AUM (2)'!$U$12</c:f>
              <c:strCache>
                <c:ptCount val="1"/>
                <c:pt idx="0">
                  <c:v>8</c:v>
                </c:pt>
              </c:strCache>
            </c:strRef>
          </c:tx>
          <c:spPr>
            <a:ln w="19050" cap="rnd">
              <a:solidFill>
                <a:schemeClr val="accent2">
                  <a:lumMod val="60000"/>
                  <a:alpha val="60000"/>
                </a:schemeClr>
              </a:solidFill>
              <a:round/>
            </a:ln>
            <a:effectLst/>
          </c:spPr>
          <c:marker>
            <c:symbol val="circle"/>
            <c:size val="6"/>
            <c:spPr>
              <a:solidFill>
                <a:schemeClr val="lt1"/>
              </a:solidFill>
              <a:ln w="38100">
                <a:solidFill>
                  <a:schemeClr val="accent2">
                    <a:lumMod val="60000"/>
                    <a:alpha val="60000"/>
                  </a:schemeClr>
                </a:solidFill>
              </a:ln>
              <a:effectLst/>
            </c:spPr>
          </c:marker>
          <c:xVal>
            <c:numRef>
              <c:f>Data!$V$51:$V$59</c:f>
              <c:numCache>
                <c:formatCode>#,##0</c:formatCode>
                <c:ptCount val="9"/>
                <c:pt idx="0">
                  <c:v>36794344</c:v>
                </c:pt>
                <c:pt idx="1">
                  <c:v>28312311</c:v>
                </c:pt>
                <c:pt idx="2">
                  <c:v>22773168</c:v>
                </c:pt>
                <c:pt idx="3">
                  <c:v>18631274</c:v>
                </c:pt>
                <c:pt idx="4">
                  <c:v>16815907</c:v>
                </c:pt>
                <c:pt idx="5">
                  <c:v>14051881</c:v>
                </c:pt>
                <c:pt idx="6">
                  <c:v>12146729</c:v>
                </c:pt>
                <c:pt idx="7">
                  <c:v>9932550</c:v>
                </c:pt>
                <c:pt idx="8">
                  <c:v>8711699</c:v>
                </c:pt>
              </c:numCache>
            </c:numRef>
          </c:xVal>
          <c:yVal>
            <c:numRef>
              <c:f>Data!$X$51:$X$59</c:f>
              <c:numCache>
                <c:formatCode>0.00%</c:formatCode>
                <c:ptCount val="9"/>
                <c:pt idx="0">
                  <c:v>8.4605123004774865E-3</c:v>
                </c:pt>
                <c:pt idx="1">
                  <c:v>9.05828563411867E-3</c:v>
                </c:pt>
                <c:pt idx="2">
                  <c:v>6.1454778711508206E-3</c:v>
                </c:pt>
                <c:pt idx="3">
                  <c:v>5.1777994355082747E-3</c:v>
                </c:pt>
                <c:pt idx="4">
                  <c:v>6.8264530720822851E-3</c:v>
                </c:pt>
                <c:pt idx="5">
                  <c:v>5.1613730574575746E-3</c:v>
                </c:pt>
                <c:pt idx="6">
                  <c:v>4.8358698049491347E-3</c:v>
                </c:pt>
                <c:pt idx="7">
                  <c:v>5.5906086553805419E-3</c:v>
                </c:pt>
                <c:pt idx="8">
                  <c:v>6.3795822146747727E-3</c:v>
                </c:pt>
              </c:numCache>
            </c:numRef>
          </c:yVal>
          <c:smooth val="0"/>
          <c:extLst>
            <c:ext xmlns:c16="http://schemas.microsoft.com/office/drawing/2014/chart" uri="{C3380CC4-5D6E-409C-BE32-E72D297353CC}">
              <c16:uniqueId val="{00000007-4DE5-4DFA-ABE4-C472EEFAEF1F}"/>
            </c:ext>
          </c:extLst>
        </c:ser>
        <c:ser>
          <c:idx val="8"/>
          <c:order val="8"/>
          <c:tx>
            <c:strRef>
              <c:f>'Grafy náklady PF vs AUM (2)'!$U$13</c:f>
              <c:strCache>
                <c:ptCount val="1"/>
                <c:pt idx="0">
                  <c:v>9</c:v>
                </c:pt>
              </c:strCache>
            </c:strRef>
          </c:tx>
          <c:spPr>
            <a:ln w="19050" cap="rnd">
              <a:solidFill>
                <a:schemeClr val="accent3">
                  <a:lumMod val="60000"/>
                  <a:alpha val="60000"/>
                </a:schemeClr>
              </a:solidFill>
              <a:round/>
            </a:ln>
            <a:effectLst/>
          </c:spPr>
          <c:marker>
            <c:symbol val="circle"/>
            <c:size val="6"/>
            <c:spPr>
              <a:solidFill>
                <a:schemeClr val="lt1"/>
              </a:solidFill>
              <a:ln w="38100">
                <a:solidFill>
                  <a:schemeClr val="accent3">
                    <a:lumMod val="60000"/>
                    <a:alpha val="60000"/>
                  </a:schemeClr>
                </a:solidFill>
              </a:ln>
              <a:effectLst/>
            </c:spPr>
          </c:marker>
          <c:xVal>
            <c:numRef>
              <c:f>Data!$V$83:$V$87</c:f>
              <c:numCache>
                <c:formatCode>#,##0</c:formatCode>
                <c:ptCount val="5"/>
                <c:pt idx="0">
                  <c:v>15874974</c:v>
                </c:pt>
                <c:pt idx="1">
                  <c:v>10423631</c:v>
                </c:pt>
                <c:pt idx="2">
                  <c:v>5999778</c:v>
                </c:pt>
                <c:pt idx="3">
                  <c:v>3099748</c:v>
                </c:pt>
                <c:pt idx="4">
                  <c:v>774022</c:v>
                </c:pt>
              </c:numCache>
            </c:numRef>
          </c:xVal>
          <c:yVal>
            <c:numRef>
              <c:f>Data!$X$83:$X$87</c:f>
              <c:numCache>
                <c:formatCode>0.00%</c:formatCode>
                <c:ptCount val="5"/>
                <c:pt idx="0">
                  <c:v>1.1423829733516414E-2</c:v>
                </c:pt>
                <c:pt idx="1">
                  <c:v>1.0142243139650665E-2</c:v>
                </c:pt>
                <c:pt idx="2">
                  <c:v>1.1457257251851653E-2</c:v>
                </c:pt>
                <c:pt idx="3">
                  <c:v>1.2999443825756159E-2</c:v>
                </c:pt>
                <c:pt idx="4">
                  <c:v>2.1573030223947121E-2</c:v>
                </c:pt>
              </c:numCache>
            </c:numRef>
          </c:yVal>
          <c:smooth val="0"/>
          <c:extLst>
            <c:ext xmlns:c16="http://schemas.microsoft.com/office/drawing/2014/chart" uri="{C3380CC4-5D6E-409C-BE32-E72D297353CC}">
              <c16:uniqueId val="{00000008-4DE5-4DFA-ABE4-C472EEFAEF1F}"/>
            </c:ext>
          </c:extLst>
        </c:ser>
        <c:ser>
          <c:idx val="11"/>
          <c:order val="9"/>
          <c:tx>
            <c:strRef>
              <c:f>'Grafy náklady PF vs AUM (2)'!$W$15</c:f>
              <c:strCache>
                <c:ptCount val="1"/>
                <c:pt idx="0">
                  <c:v>Úplata PKF (varianta 0 + varianta 2) </c:v>
                </c:pt>
              </c:strCache>
            </c:strRef>
          </c:tx>
          <c:spPr>
            <a:ln w="19050" cap="rnd">
              <a:solidFill>
                <a:srgbClr val="00B050"/>
              </a:solidFill>
              <a:prstDash val="sysDot"/>
              <a:round/>
            </a:ln>
            <a:effectLst/>
          </c:spPr>
          <c:marker>
            <c:symbol val="none"/>
          </c:marker>
          <c:xVal>
            <c:numRef>
              <c:f>'Grafy náklady PF vs AUM (2)'!$U$26:$U$34</c:f>
              <c:numCache>
                <c:formatCode>#,##0</c:formatCode>
                <c:ptCount val="9"/>
                <c:pt idx="0" formatCode="General">
                  <c:v>0</c:v>
                </c:pt>
                <c:pt idx="1">
                  <c:v>20000000</c:v>
                </c:pt>
                <c:pt idx="2">
                  <c:v>40000000</c:v>
                </c:pt>
                <c:pt idx="3">
                  <c:v>60000000</c:v>
                </c:pt>
                <c:pt idx="4">
                  <c:v>80000000</c:v>
                </c:pt>
                <c:pt idx="5">
                  <c:v>100000000</c:v>
                </c:pt>
                <c:pt idx="6">
                  <c:v>120000000</c:v>
                </c:pt>
                <c:pt idx="7">
                  <c:v>140000000</c:v>
                </c:pt>
                <c:pt idx="8">
                  <c:v>160000000</c:v>
                </c:pt>
              </c:numCache>
            </c:numRef>
          </c:xVal>
          <c:yVal>
            <c:numRef>
              <c:f>'Grafy náklady PF vs AUM (2)'!$W$16:$W$24</c:f>
              <c:numCache>
                <c:formatCode>0.00%</c:formatCode>
                <c:ptCount val="9"/>
                <c:pt idx="0">
                  <c:v>6.4999999999999997E-3</c:v>
                </c:pt>
                <c:pt idx="1">
                  <c:v>6.4999999999999997E-3</c:v>
                </c:pt>
                <c:pt idx="2">
                  <c:v>6.4999999999999997E-3</c:v>
                </c:pt>
                <c:pt idx="3">
                  <c:v>6.4999999999999997E-3</c:v>
                </c:pt>
                <c:pt idx="4">
                  <c:v>6.4999999999999997E-3</c:v>
                </c:pt>
                <c:pt idx="5">
                  <c:v>6.4999999999999997E-3</c:v>
                </c:pt>
                <c:pt idx="6">
                  <c:v>6.4999999999999997E-3</c:v>
                </c:pt>
                <c:pt idx="7">
                  <c:v>6.4999999999999997E-3</c:v>
                </c:pt>
                <c:pt idx="8">
                  <c:v>6.4999999999999997E-3</c:v>
                </c:pt>
              </c:numCache>
            </c:numRef>
          </c:yVal>
          <c:smooth val="0"/>
          <c:extLst>
            <c:ext xmlns:c16="http://schemas.microsoft.com/office/drawing/2014/chart" uri="{C3380CC4-5D6E-409C-BE32-E72D297353CC}">
              <c16:uniqueId val="{00000009-4DE5-4DFA-ABE4-C472EEFAEF1F}"/>
            </c:ext>
          </c:extLst>
        </c:ser>
        <c:ser>
          <c:idx val="12"/>
          <c:order val="10"/>
          <c:tx>
            <c:strRef>
              <c:f>'Grafy náklady PF vs AUM (2)'!$Y$15</c:f>
              <c:strCache>
                <c:ptCount val="1"/>
                <c:pt idx="0">
                  <c:v>Úplata dynamické ÚF (varianta 0) </c:v>
                </c:pt>
              </c:strCache>
            </c:strRef>
          </c:tx>
          <c:spPr>
            <a:ln w="19050" cap="rnd">
              <a:solidFill>
                <a:srgbClr val="00B050"/>
              </a:solidFill>
              <a:prstDash val="sysDash"/>
              <a:round/>
            </a:ln>
            <a:effectLst/>
          </c:spPr>
          <c:marker>
            <c:symbol val="none"/>
          </c:marker>
          <c:xVal>
            <c:numRef>
              <c:f>'Grafy náklady PF vs AUM (2)'!$U$26:$U$34</c:f>
              <c:numCache>
                <c:formatCode>#,##0</c:formatCode>
                <c:ptCount val="9"/>
                <c:pt idx="0" formatCode="General">
                  <c:v>0</c:v>
                </c:pt>
                <c:pt idx="1">
                  <c:v>20000000</c:v>
                </c:pt>
                <c:pt idx="2">
                  <c:v>40000000</c:v>
                </c:pt>
                <c:pt idx="3">
                  <c:v>60000000</c:v>
                </c:pt>
                <c:pt idx="4">
                  <c:v>80000000</c:v>
                </c:pt>
                <c:pt idx="5">
                  <c:v>100000000</c:v>
                </c:pt>
                <c:pt idx="6">
                  <c:v>120000000</c:v>
                </c:pt>
                <c:pt idx="7">
                  <c:v>140000000</c:v>
                </c:pt>
                <c:pt idx="8">
                  <c:v>160000000</c:v>
                </c:pt>
              </c:numCache>
            </c:numRef>
          </c:xVal>
          <c:yVal>
            <c:numRef>
              <c:f>'Grafy náklady PF vs AUM (2)'!$Y$16:$Y$24</c:f>
              <c:numCache>
                <c:formatCode>0.00%</c:formatCode>
                <c:ptCount val="9"/>
                <c:pt idx="0">
                  <c:v>2.12E-2</c:v>
                </c:pt>
                <c:pt idx="1">
                  <c:v>2.12E-2</c:v>
                </c:pt>
                <c:pt idx="2">
                  <c:v>2.12E-2</c:v>
                </c:pt>
                <c:pt idx="3">
                  <c:v>2.12E-2</c:v>
                </c:pt>
                <c:pt idx="4">
                  <c:v>2.12E-2</c:v>
                </c:pt>
                <c:pt idx="5">
                  <c:v>2.12E-2</c:v>
                </c:pt>
                <c:pt idx="6">
                  <c:v>2.12E-2</c:v>
                </c:pt>
                <c:pt idx="7">
                  <c:v>2.12E-2</c:v>
                </c:pt>
                <c:pt idx="8">
                  <c:v>2.12E-2</c:v>
                </c:pt>
              </c:numCache>
            </c:numRef>
          </c:yVal>
          <c:smooth val="0"/>
          <c:extLst>
            <c:ext xmlns:c16="http://schemas.microsoft.com/office/drawing/2014/chart" uri="{C3380CC4-5D6E-409C-BE32-E72D297353CC}">
              <c16:uniqueId val="{0000000A-4DE5-4DFA-ABE4-C472EEFAEF1F}"/>
            </c:ext>
          </c:extLst>
        </c:ser>
        <c:ser>
          <c:idx val="9"/>
          <c:order val="11"/>
          <c:tx>
            <c:strRef>
              <c:f>'Grafy náklady PF vs AUM (2)'!$U$15</c:f>
              <c:strCache>
                <c:ptCount val="1"/>
                <c:pt idx="0">
                  <c:v>Úplata TF a PKF (varianta 1)</c:v>
                </c:pt>
              </c:strCache>
            </c:strRef>
          </c:tx>
          <c:spPr>
            <a:ln w="19050" cap="rnd">
              <a:solidFill>
                <a:srgbClr val="C00000"/>
              </a:solidFill>
              <a:prstDash val="sysDash"/>
              <a:round/>
            </a:ln>
            <a:effectLst/>
          </c:spPr>
          <c:marker>
            <c:symbol val="none"/>
          </c:marker>
          <c:xVal>
            <c:numRef>
              <c:f>'Grafy náklady PF vs AUM (2)'!$U$26:$U$34</c:f>
              <c:numCache>
                <c:formatCode>#,##0</c:formatCode>
                <c:ptCount val="9"/>
                <c:pt idx="0" formatCode="General">
                  <c:v>0</c:v>
                </c:pt>
                <c:pt idx="1">
                  <c:v>20000000</c:v>
                </c:pt>
                <c:pt idx="2">
                  <c:v>40000000</c:v>
                </c:pt>
                <c:pt idx="3">
                  <c:v>60000000</c:v>
                </c:pt>
                <c:pt idx="4">
                  <c:v>80000000</c:v>
                </c:pt>
                <c:pt idx="5">
                  <c:v>100000000</c:v>
                </c:pt>
                <c:pt idx="6">
                  <c:v>120000000</c:v>
                </c:pt>
                <c:pt idx="7">
                  <c:v>140000000</c:v>
                </c:pt>
                <c:pt idx="8">
                  <c:v>160000000</c:v>
                </c:pt>
              </c:numCache>
            </c:numRef>
          </c:xVal>
          <c:yVal>
            <c:numRef>
              <c:f>'Grafy náklady PF vs AUM (2)'!$U$16:$U$24</c:f>
              <c:numCache>
                <c:formatCode>0.00%</c:formatCode>
                <c:ptCount val="9"/>
                <c:pt idx="0">
                  <c:v>5.0000000000000001E-3</c:v>
                </c:pt>
                <c:pt idx="1">
                  <c:v>5.0000000000000001E-3</c:v>
                </c:pt>
                <c:pt idx="2">
                  <c:v>5.0000000000000001E-3</c:v>
                </c:pt>
                <c:pt idx="3">
                  <c:v>5.0000000000000001E-3</c:v>
                </c:pt>
                <c:pt idx="4">
                  <c:v>5.0000000000000001E-3</c:v>
                </c:pt>
                <c:pt idx="5">
                  <c:v>5.0000000000000001E-3</c:v>
                </c:pt>
                <c:pt idx="6">
                  <c:v>5.0000000000000001E-3</c:v>
                </c:pt>
                <c:pt idx="7">
                  <c:v>5.0000000000000001E-3</c:v>
                </c:pt>
                <c:pt idx="8">
                  <c:v>5.0000000000000001E-3</c:v>
                </c:pt>
              </c:numCache>
            </c:numRef>
          </c:yVal>
          <c:smooth val="0"/>
          <c:extLst>
            <c:ext xmlns:c16="http://schemas.microsoft.com/office/drawing/2014/chart" uri="{C3380CC4-5D6E-409C-BE32-E72D297353CC}">
              <c16:uniqueId val="{0000000B-4DE5-4DFA-ABE4-C472EEFAEF1F}"/>
            </c:ext>
          </c:extLst>
        </c:ser>
        <c:ser>
          <c:idx val="13"/>
          <c:order val="12"/>
          <c:tx>
            <c:strRef>
              <c:f>'Grafy náklady PF vs AUM (2)'!$Z$15</c:f>
              <c:strCache>
                <c:ptCount val="1"/>
                <c:pt idx="0">
                  <c:v>Úplata dynamické ÚF (varianta 2) </c:v>
                </c:pt>
              </c:strCache>
            </c:strRef>
          </c:tx>
          <c:spPr>
            <a:ln w="19050" cap="rnd">
              <a:solidFill>
                <a:srgbClr val="00B0F0"/>
              </a:solidFill>
              <a:prstDash val="sysDash"/>
              <a:round/>
            </a:ln>
            <a:effectLst/>
          </c:spPr>
          <c:marker>
            <c:symbol val="none"/>
          </c:marker>
          <c:xVal>
            <c:numRef>
              <c:f>'Grafy náklady PF vs AUM (2)'!$U$26:$U$34</c:f>
              <c:numCache>
                <c:formatCode>#,##0</c:formatCode>
                <c:ptCount val="9"/>
                <c:pt idx="0" formatCode="General">
                  <c:v>0</c:v>
                </c:pt>
                <c:pt idx="1">
                  <c:v>20000000</c:v>
                </c:pt>
                <c:pt idx="2">
                  <c:v>40000000</c:v>
                </c:pt>
                <c:pt idx="3">
                  <c:v>60000000</c:v>
                </c:pt>
                <c:pt idx="4">
                  <c:v>80000000</c:v>
                </c:pt>
                <c:pt idx="5">
                  <c:v>100000000</c:v>
                </c:pt>
                <c:pt idx="6">
                  <c:v>120000000</c:v>
                </c:pt>
                <c:pt idx="7">
                  <c:v>140000000</c:v>
                </c:pt>
                <c:pt idx="8">
                  <c:v>160000000</c:v>
                </c:pt>
              </c:numCache>
            </c:numRef>
          </c:xVal>
          <c:yVal>
            <c:numRef>
              <c:f>'Grafy náklady PF vs AUM (2)'!$Z$16:$Z$24</c:f>
              <c:numCache>
                <c:formatCode>0.00%</c:formatCode>
                <c:ptCount val="9"/>
                <c:pt idx="0">
                  <c:v>1.7399999999999999E-2</c:v>
                </c:pt>
                <c:pt idx="1">
                  <c:v>1.7399999999999999E-2</c:v>
                </c:pt>
                <c:pt idx="2">
                  <c:v>1.7399999999999999E-2</c:v>
                </c:pt>
                <c:pt idx="3">
                  <c:v>1.7399999999999999E-2</c:v>
                </c:pt>
                <c:pt idx="4">
                  <c:v>1.7399999999999999E-2</c:v>
                </c:pt>
                <c:pt idx="5">
                  <c:v>1.7399999999999999E-2</c:v>
                </c:pt>
                <c:pt idx="6">
                  <c:v>1.7399999999999999E-2</c:v>
                </c:pt>
                <c:pt idx="7">
                  <c:v>1.7399999999999999E-2</c:v>
                </c:pt>
                <c:pt idx="8">
                  <c:v>1.7399999999999999E-2</c:v>
                </c:pt>
              </c:numCache>
            </c:numRef>
          </c:yVal>
          <c:smooth val="0"/>
          <c:extLst>
            <c:ext xmlns:c16="http://schemas.microsoft.com/office/drawing/2014/chart" uri="{C3380CC4-5D6E-409C-BE32-E72D297353CC}">
              <c16:uniqueId val="{0000000C-4DE5-4DFA-ABE4-C472EEFAEF1F}"/>
            </c:ext>
          </c:extLst>
        </c:ser>
        <c:ser>
          <c:idx val="10"/>
          <c:order val="13"/>
          <c:tx>
            <c:strRef>
              <c:f>'Grafy náklady PF vs AUM (2)'!$X$15</c:f>
              <c:strCache>
                <c:ptCount val="1"/>
                <c:pt idx="0">
                  <c:v>Úplata PKF (varianta 0 + varianta 2) </c:v>
                </c:pt>
              </c:strCache>
            </c:strRef>
          </c:tx>
          <c:spPr>
            <a:ln w="19050" cap="rnd">
              <a:solidFill>
                <a:srgbClr val="00B0F0">
                  <a:alpha val="60000"/>
                </a:srgbClr>
              </a:solidFill>
              <a:prstDash val="sysDot"/>
              <a:round/>
            </a:ln>
            <a:effectLst/>
          </c:spPr>
          <c:marker>
            <c:symbol val="none"/>
          </c:marker>
          <c:xVal>
            <c:numRef>
              <c:f>'Grafy náklady PF vs AUM (2)'!$U$26:$U$34</c:f>
              <c:numCache>
                <c:formatCode>#,##0</c:formatCode>
                <c:ptCount val="9"/>
                <c:pt idx="0" formatCode="General">
                  <c:v>0</c:v>
                </c:pt>
                <c:pt idx="1">
                  <c:v>20000000</c:v>
                </c:pt>
                <c:pt idx="2">
                  <c:v>40000000</c:v>
                </c:pt>
                <c:pt idx="3">
                  <c:v>60000000</c:v>
                </c:pt>
                <c:pt idx="4">
                  <c:v>80000000</c:v>
                </c:pt>
                <c:pt idx="5">
                  <c:v>100000000</c:v>
                </c:pt>
                <c:pt idx="6">
                  <c:v>120000000</c:v>
                </c:pt>
                <c:pt idx="7">
                  <c:v>140000000</c:v>
                </c:pt>
                <c:pt idx="8">
                  <c:v>160000000</c:v>
                </c:pt>
              </c:numCache>
            </c:numRef>
          </c:xVal>
          <c:yVal>
            <c:numRef>
              <c:f>'Grafy náklady PF vs AUM (2)'!$X$16:$X$24</c:f>
              <c:numCache>
                <c:formatCode>0.00%</c:formatCode>
                <c:ptCount val="9"/>
                <c:pt idx="0">
                  <c:v>6.4999999999999997E-3</c:v>
                </c:pt>
                <c:pt idx="1">
                  <c:v>6.4999999999999997E-3</c:v>
                </c:pt>
                <c:pt idx="2">
                  <c:v>6.4999999999999997E-3</c:v>
                </c:pt>
                <c:pt idx="3">
                  <c:v>6.4999999999999997E-3</c:v>
                </c:pt>
                <c:pt idx="4">
                  <c:v>6.4999999999999997E-3</c:v>
                </c:pt>
                <c:pt idx="5">
                  <c:v>6.4999999999999997E-3</c:v>
                </c:pt>
                <c:pt idx="6">
                  <c:v>6.4999999999999997E-3</c:v>
                </c:pt>
                <c:pt idx="7">
                  <c:v>6.4999999999999997E-3</c:v>
                </c:pt>
                <c:pt idx="8">
                  <c:v>6.4999999999999997E-3</c:v>
                </c:pt>
              </c:numCache>
            </c:numRef>
          </c:yVal>
          <c:smooth val="0"/>
          <c:extLst>
            <c:ext xmlns:c16="http://schemas.microsoft.com/office/drawing/2014/chart" uri="{C3380CC4-5D6E-409C-BE32-E72D297353CC}">
              <c16:uniqueId val="{0000000D-4DE5-4DFA-ABE4-C472EEFAEF1F}"/>
            </c:ext>
          </c:extLst>
        </c:ser>
        <c:dLbls>
          <c:showLegendKey val="0"/>
          <c:showVal val="0"/>
          <c:showCatName val="0"/>
          <c:showSerName val="0"/>
          <c:showPercent val="0"/>
          <c:showBubbleSize val="0"/>
        </c:dLbls>
        <c:axId val="1356629264"/>
        <c:axId val="1302625664"/>
      </c:scatterChart>
      <c:valAx>
        <c:axId val="1356629264"/>
        <c:scaling>
          <c:orientation val="minMax"/>
          <c:max val="160000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cs-CZ" cap="none" baseline="0"/>
                  <a:t>Objem spravovaného majetku (mld. Kč)</a:t>
                </a:r>
              </a:p>
            </c:rich>
          </c:tx>
          <c:layout>
            <c:manualLayout>
              <c:xMode val="edge"/>
              <c:yMode val="edge"/>
              <c:x val="0.29672719143545545"/>
              <c:y val="0.9406719904692763"/>
            </c:manualLayout>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cs-CZ"/>
            </a:p>
          </c:txPr>
        </c:title>
        <c:numFmt formatCode="#,##0" sourceLinked="1"/>
        <c:majorTickMark val="none"/>
        <c:minorTickMark val="none"/>
        <c:tickLblPos val="nextTo"/>
        <c:spPr>
          <a:noFill/>
          <a:ln>
            <a:solidFill>
              <a:schemeClr val="tx1">
                <a:lumMod val="15000"/>
                <a:lumOff val="85000"/>
              </a:schemeClr>
            </a:solidFill>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cs-CZ"/>
          </a:p>
        </c:txPr>
        <c:crossAx val="1302625664"/>
        <c:crosses val="autoZero"/>
        <c:crossBetween val="midCat"/>
        <c:majorUnit val="20000000"/>
        <c:dispUnits>
          <c:builtInUnit val="millions"/>
        </c:dispUnits>
      </c:valAx>
      <c:valAx>
        <c:axId val="1302625664"/>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solidFill>
              <a:schemeClr val="tx1">
                <a:lumMod val="25000"/>
                <a:lumOff val="75000"/>
              </a:schemeClr>
            </a:solid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cs-CZ"/>
          </a:p>
        </c:txPr>
        <c:crossAx val="1356629264"/>
        <c:crosses val="autoZero"/>
        <c:crossBetween val="midCat"/>
      </c:valAx>
      <c:spPr>
        <a:noFill/>
        <a:ln>
          <a:noFill/>
        </a:ln>
        <a:effectLst/>
      </c:spPr>
    </c:plotArea>
    <c:legend>
      <c:legendPos val="t"/>
      <c:legendEntry>
        <c:idx val="9"/>
        <c:delete val="1"/>
      </c:legendEntry>
      <c:legendEntry>
        <c:idx val="10"/>
        <c:delete val="1"/>
      </c:legendEntry>
      <c:legendEntry>
        <c:idx val="11"/>
        <c:delete val="1"/>
      </c:legendEntry>
      <c:legendEntry>
        <c:idx val="12"/>
        <c:delete val="1"/>
      </c:legendEntry>
      <c:legendEntry>
        <c:idx val="13"/>
        <c:delete val="1"/>
      </c:legendEntry>
      <c:layout>
        <c:manualLayout>
          <c:xMode val="edge"/>
          <c:yMode val="edge"/>
          <c:x val="0.23874760923023422"/>
          <c:y val="3.6233585858585861E-2"/>
          <c:w val="0.733090625"/>
          <c:h val="9.9020202020202036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noFill/>
      <a:round/>
    </a:ln>
    <a:effectLst/>
  </c:spPr>
  <c:txPr>
    <a:bodyPr/>
    <a:lstStyle/>
    <a:p>
      <a:pPr>
        <a:defRPr/>
      </a:pPr>
      <a:endParaRPr lang="cs-CZ"/>
    </a:p>
  </c:txPr>
  <c:externalData r:id="rId4">
    <c:autoUpdate val="0"/>
  </c:externalData>
  <c:userShapes r:id="rId5"/>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5092361111111107E-2"/>
          <c:y val="0.25844270833333333"/>
          <c:w val="0.82894843750000002"/>
          <c:h val="0.66280243055555554"/>
        </c:manualLayout>
      </c:layout>
      <c:scatterChart>
        <c:scatterStyle val="lineMarker"/>
        <c:varyColors val="0"/>
        <c:ser>
          <c:idx val="0"/>
          <c:order val="0"/>
          <c:tx>
            <c:strRef>
              <c:f>'Grafy náklady PF vs AUM'!$U$5</c:f>
              <c:strCache>
                <c:ptCount val="1"/>
                <c:pt idx="0">
                  <c:v>1</c:v>
                </c:pt>
              </c:strCache>
            </c:strRef>
          </c:tx>
          <c:spPr>
            <a:ln w="19050" cap="rnd">
              <a:solidFill>
                <a:schemeClr val="accent1">
                  <a:alpha val="60000"/>
                </a:schemeClr>
              </a:solidFill>
              <a:round/>
            </a:ln>
            <a:effectLst/>
          </c:spPr>
          <c:marker>
            <c:symbol val="circle"/>
            <c:size val="6"/>
            <c:spPr>
              <a:solidFill>
                <a:schemeClr val="lt1"/>
              </a:solidFill>
              <a:ln w="38100">
                <a:solidFill>
                  <a:schemeClr val="accent1">
                    <a:alpha val="60000"/>
                  </a:schemeClr>
                </a:solidFill>
              </a:ln>
              <a:effectLst/>
            </c:spPr>
          </c:marker>
          <c:xVal>
            <c:numRef>
              <c:f>Data!$V$3:$V$11</c:f>
              <c:numCache>
                <c:formatCode>#,##0</c:formatCode>
                <c:ptCount val="9"/>
                <c:pt idx="0">
                  <c:v>149761000</c:v>
                </c:pt>
                <c:pt idx="1">
                  <c:v>129073000</c:v>
                </c:pt>
                <c:pt idx="2">
                  <c:v>122257000</c:v>
                </c:pt>
                <c:pt idx="3">
                  <c:v>116970000</c:v>
                </c:pt>
                <c:pt idx="4">
                  <c:v>111832000</c:v>
                </c:pt>
                <c:pt idx="5">
                  <c:v>103050000</c:v>
                </c:pt>
                <c:pt idx="6">
                  <c:v>93320000</c:v>
                </c:pt>
                <c:pt idx="7">
                  <c:v>84386000</c:v>
                </c:pt>
                <c:pt idx="8">
                  <c:v>77105400</c:v>
                </c:pt>
              </c:numCache>
            </c:numRef>
          </c:xVal>
          <c:yVal>
            <c:numRef>
              <c:f>Data!$U$3:$U$11</c:f>
              <c:numCache>
                <c:formatCode>0.00%</c:formatCode>
                <c:ptCount val="9"/>
                <c:pt idx="0">
                  <c:v>5.3986685452153769E-4</c:v>
                </c:pt>
                <c:pt idx="1">
                  <c:v>1.261875062948874E-3</c:v>
                </c:pt>
                <c:pt idx="2">
                  <c:v>8.3311385033167835E-4</c:v>
                </c:pt>
                <c:pt idx="3">
                  <c:v>9.8046507651534573E-4</c:v>
                </c:pt>
                <c:pt idx="4">
                  <c:v>1.3184419486372415E-3</c:v>
                </c:pt>
                <c:pt idx="5">
                  <c:v>1.5080058224163028E-3</c:v>
                </c:pt>
                <c:pt idx="6">
                  <c:v>1.6235105015002143E-3</c:v>
                </c:pt>
                <c:pt idx="7">
                  <c:v>1.845045386675515E-3</c:v>
                </c:pt>
                <c:pt idx="8">
                  <c:v>2.3028996672087819E-3</c:v>
                </c:pt>
              </c:numCache>
            </c:numRef>
          </c:yVal>
          <c:smooth val="0"/>
          <c:extLst>
            <c:ext xmlns:c16="http://schemas.microsoft.com/office/drawing/2014/chart" uri="{C3380CC4-5D6E-409C-BE32-E72D297353CC}">
              <c16:uniqueId val="{00000000-C721-4B4C-B1C1-516504BC7900}"/>
            </c:ext>
          </c:extLst>
        </c:ser>
        <c:ser>
          <c:idx val="1"/>
          <c:order val="1"/>
          <c:tx>
            <c:strRef>
              <c:f>'Grafy náklady PF vs AUM'!$U$6</c:f>
              <c:strCache>
                <c:ptCount val="1"/>
                <c:pt idx="0">
                  <c:v>2</c:v>
                </c:pt>
              </c:strCache>
            </c:strRef>
          </c:tx>
          <c:spPr>
            <a:ln w="19050" cap="rnd">
              <a:solidFill>
                <a:schemeClr val="accent2">
                  <a:alpha val="60000"/>
                </a:schemeClr>
              </a:solidFill>
              <a:round/>
            </a:ln>
            <a:effectLst/>
          </c:spPr>
          <c:marker>
            <c:symbol val="circle"/>
            <c:size val="6"/>
            <c:spPr>
              <a:solidFill>
                <a:schemeClr val="lt1"/>
              </a:solidFill>
              <a:ln w="38100">
                <a:solidFill>
                  <a:schemeClr val="accent2">
                    <a:alpha val="60000"/>
                  </a:schemeClr>
                </a:solidFill>
              </a:ln>
              <a:effectLst/>
            </c:spPr>
          </c:marker>
          <c:xVal>
            <c:numRef>
              <c:f>Data!$V$19:$V$27</c:f>
              <c:numCache>
                <c:formatCode>#,##0</c:formatCode>
                <c:ptCount val="9"/>
                <c:pt idx="0">
                  <c:v>139165196</c:v>
                </c:pt>
                <c:pt idx="1">
                  <c:v>134781707</c:v>
                </c:pt>
                <c:pt idx="2">
                  <c:v>138273053</c:v>
                </c:pt>
                <c:pt idx="3">
                  <c:v>138516062</c:v>
                </c:pt>
                <c:pt idx="4">
                  <c:v>136289348</c:v>
                </c:pt>
                <c:pt idx="5">
                  <c:v>128071120</c:v>
                </c:pt>
                <c:pt idx="6">
                  <c:v>118711215</c:v>
                </c:pt>
                <c:pt idx="7">
                  <c:v>109820811</c:v>
                </c:pt>
                <c:pt idx="8">
                  <c:v>102838625</c:v>
                </c:pt>
              </c:numCache>
            </c:numRef>
          </c:xVal>
          <c:yVal>
            <c:numRef>
              <c:f>Data!$U$19:$U$27</c:f>
              <c:numCache>
                <c:formatCode>0.00%</c:formatCode>
                <c:ptCount val="9"/>
                <c:pt idx="0">
                  <c:v>2.8116368980646571E-3</c:v>
                </c:pt>
                <c:pt idx="1">
                  <c:v>1.7351909632662538E-3</c:v>
                </c:pt>
                <c:pt idx="2">
                  <c:v>1.4062392908906118E-3</c:v>
                </c:pt>
                <c:pt idx="3">
                  <c:v>1.4882967146438223E-3</c:v>
                </c:pt>
                <c:pt idx="4">
                  <c:v>1.4905126701464592E-3</c:v>
                </c:pt>
                <c:pt idx="5">
                  <c:v>1.5648648969416369E-3</c:v>
                </c:pt>
                <c:pt idx="6">
                  <c:v>1.276172600878527E-3</c:v>
                </c:pt>
                <c:pt idx="7">
                  <c:v>1.6007075380275603E-3</c:v>
                </c:pt>
                <c:pt idx="8">
                  <c:v>1.6668445343371715E-3</c:v>
                </c:pt>
              </c:numCache>
            </c:numRef>
          </c:yVal>
          <c:smooth val="0"/>
          <c:extLst>
            <c:ext xmlns:c16="http://schemas.microsoft.com/office/drawing/2014/chart" uri="{C3380CC4-5D6E-409C-BE32-E72D297353CC}">
              <c16:uniqueId val="{00000001-C721-4B4C-B1C1-516504BC7900}"/>
            </c:ext>
          </c:extLst>
        </c:ser>
        <c:ser>
          <c:idx val="2"/>
          <c:order val="2"/>
          <c:tx>
            <c:strRef>
              <c:f>'Grafy náklady PF vs AUM'!$U$7</c:f>
              <c:strCache>
                <c:ptCount val="1"/>
                <c:pt idx="0">
                  <c:v>3</c:v>
                </c:pt>
              </c:strCache>
            </c:strRef>
          </c:tx>
          <c:spPr>
            <a:ln w="19050" cap="rnd">
              <a:solidFill>
                <a:schemeClr val="accent3">
                  <a:alpha val="60000"/>
                </a:schemeClr>
              </a:solidFill>
              <a:round/>
            </a:ln>
            <a:effectLst/>
          </c:spPr>
          <c:marker>
            <c:symbol val="circle"/>
            <c:size val="6"/>
            <c:spPr>
              <a:solidFill>
                <a:schemeClr val="lt1"/>
              </a:solidFill>
              <a:ln w="38100">
                <a:solidFill>
                  <a:schemeClr val="accent3">
                    <a:alpha val="60000"/>
                  </a:schemeClr>
                </a:solidFill>
              </a:ln>
              <a:effectLst/>
            </c:spPr>
          </c:marker>
          <c:xVal>
            <c:numRef>
              <c:f>Data!$V$35:$V$43</c:f>
              <c:numCache>
                <c:formatCode>#,##0</c:formatCode>
                <c:ptCount val="9"/>
                <c:pt idx="0">
                  <c:v>82855482</c:v>
                </c:pt>
                <c:pt idx="1">
                  <c:v>73566845</c:v>
                </c:pt>
                <c:pt idx="2">
                  <c:v>71908514</c:v>
                </c:pt>
                <c:pt idx="3">
                  <c:v>73388534</c:v>
                </c:pt>
                <c:pt idx="4">
                  <c:v>69983874</c:v>
                </c:pt>
                <c:pt idx="5">
                  <c:v>65793634</c:v>
                </c:pt>
                <c:pt idx="6">
                  <c:v>60631317</c:v>
                </c:pt>
                <c:pt idx="7">
                  <c:v>54992840</c:v>
                </c:pt>
                <c:pt idx="8">
                  <c:v>51615297</c:v>
                </c:pt>
              </c:numCache>
            </c:numRef>
          </c:xVal>
          <c:yVal>
            <c:numRef>
              <c:f>Data!$U$35:$U$43</c:f>
              <c:numCache>
                <c:formatCode>0.00%</c:formatCode>
                <c:ptCount val="9"/>
                <c:pt idx="0">
                  <c:v>2.3222724116190646E-3</c:v>
                </c:pt>
                <c:pt idx="1">
                  <c:v>2.4888929245232686E-3</c:v>
                </c:pt>
                <c:pt idx="2">
                  <c:v>2.1311245564051011E-3</c:v>
                </c:pt>
                <c:pt idx="3">
                  <c:v>2.2736521756927313E-3</c:v>
                </c:pt>
                <c:pt idx="4">
                  <c:v>2.6398081363715304E-3</c:v>
                </c:pt>
                <c:pt idx="5">
                  <c:v>2.7531690983963585E-3</c:v>
                </c:pt>
                <c:pt idx="6">
                  <c:v>3.1509459047376455E-3</c:v>
                </c:pt>
                <c:pt idx="7">
                  <c:v>3.5852121839861336E-3</c:v>
                </c:pt>
                <c:pt idx="8">
                  <c:v>3.7775622990215479E-3</c:v>
                </c:pt>
              </c:numCache>
            </c:numRef>
          </c:yVal>
          <c:smooth val="0"/>
          <c:extLst>
            <c:ext xmlns:c16="http://schemas.microsoft.com/office/drawing/2014/chart" uri="{C3380CC4-5D6E-409C-BE32-E72D297353CC}">
              <c16:uniqueId val="{00000002-C721-4B4C-B1C1-516504BC7900}"/>
            </c:ext>
          </c:extLst>
        </c:ser>
        <c:ser>
          <c:idx val="3"/>
          <c:order val="3"/>
          <c:tx>
            <c:strRef>
              <c:f>'Grafy náklady PF vs AUM'!$U$8</c:f>
              <c:strCache>
                <c:ptCount val="1"/>
                <c:pt idx="0">
                  <c:v>4</c:v>
                </c:pt>
              </c:strCache>
            </c:strRef>
          </c:tx>
          <c:spPr>
            <a:ln w="19050" cap="rnd">
              <a:solidFill>
                <a:schemeClr val="accent4">
                  <a:alpha val="60000"/>
                </a:schemeClr>
              </a:solidFill>
              <a:round/>
            </a:ln>
            <a:effectLst/>
          </c:spPr>
          <c:marker>
            <c:symbol val="circle"/>
            <c:size val="6"/>
            <c:spPr>
              <a:solidFill>
                <a:schemeClr val="lt1"/>
              </a:solidFill>
              <a:ln w="38100">
                <a:solidFill>
                  <a:schemeClr val="accent4">
                    <a:alpha val="60000"/>
                  </a:schemeClr>
                </a:solidFill>
              </a:ln>
              <a:effectLst/>
            </c:spPr>
          </c:marker>
          <c:xVal>
            <c:numRef>
              <c:f>Data!$V$123:$V$131</c:f>
              <c:numCache>
                <c:formatCode>#,##0</c:formatCode>
                <c:ptCount val="9"/>
                <c:pt idx="0">
                  <c:v>78073846</c:v>
                </c:pt>
                <c:pt idx="1">
                  <c:v>73370571</c:v>
                </c:pt>
                <c:pt idx="2">
                  <c:v>74091558</c:v>
                </c:pt>
                <c:pt idx="3">
                  <c:v>74427656</c:v>
                </c:pt>
                <c:pt idx="4">
                  <c:v>72053247</c:v>
                </c:pt>
                <c:pt idx="5">
                  <c:v>68551091</c:v>
                </c:pt>
                <c:pt idx="6">
                  <c:v>63773595</c:v>
                </c:pt>
                <c:pt idx="7">
                  <c:v>58850207</c:v>
                </c:pt>
                <c:pt idx="8">
                  <c:v>54590966</c:v>
                </c:pt>
              </c:numCache>
            </c:numRef>
          </c:xVal>
          <c:yVal>
            <c:numRef>
              <c:f>Data!$U$123:$U$131</c:f>
              <c:numCache>
                <c:formatCode>0.00%</c:formatCode>
                <c:ptCount val="9"/>
                <c:pt idx="0">
                  <c:v>1.6705594342054061E-3</c:v>
                </c:pt>
                <c:pt idx="1">
                  <c:v>1.7673707350594286E-3</c:v>
                </c:pt>
                <c:pt idx="2">
                  <c:v>1.7387136062113851E-3</c:v>
                </c:pt>
                <c:pt idx="3">
                  <c:v>1.5990023923365261E-3</c:v>
                </c:pt>
                <c:pt idx="4">
                  <c:v>1.5353784125786865E-3</c:v>
                </c:pt>
                <c:pt idx="5">
                  <c:v>1.6493683521389907E-3</c:v>
                </c:pt>
                <c:pt idx="6">
                  <c:v>1.7784319670233425E-3</c:v>
                </c:pt>
                <c:pt idx="7">
                  <c:v>1.9894407508201286E-3</c:v>
                </c:pt>
                <c:pt idx="8">
                  <c:v>1.9134667812985761E-3</c:v>
                </c:pt>
              </c:numCache>
            </c:numRef>
          </c:yVal>
          <c:smooth val="0"/>
          <c:extLst>
            <c:ext xmlns:c16="http://schemas.microsoft.com/office/drawing/2014/chart" uri="{C3380CC4-5D6E-409C-BE32-E72D297353CC}">
              <c16:uniqueId val="{00000003-C721-4B4C-B1C1-516504BC7900}"/>
            </c:ext>
          </c:extLst>
        </c:ser>
        <c:ser>
          <c:idx val="4"/>
          <c:order val="4"/>
          <c:tx>
            <c:strRef>
              <c:f>'Grafy náklady PF vs AUM'!$U$9</c:f>
              <c:strCache>
                <c:ptCount val="1"/>
                <c:pt idx="0">
                  <c:v>5</c:v>
                </c:pt>
              </c:strCache>
            </c:strRef>
          </c:tx>
          <c:spPr>
            <a:ln w="19050" cap="rnd">
              <a:solidFill>
                <a:schemeClr val="accent5">
                  <a:alpha val="60000"/>
                </a:schemeClr>
              </a:solidFill>
              <a:round/>
            </a:ln>
            <a:effectLst/>
          </c:spPr>
          <c:marker>
            <c:symbol val="circle"/>
            <c:size val="6"/>
            <c:spPr>
              <a:solidFill>
                <a:schemeClr val="lt1"/>
              </a:solidFill>
              <a:ln w="38100">
                <a:solidFill>
                  <a:schemeClr val="accent5">
                    <a:alpha val="60000"/>
                  </a:schemeClr>
                </a:solidFill>
              </a:ln>
              <a:effectLst/>
            </c:spPr>
          </c:marker>
          <c:xVal>
            <c:numRef>
              <c:f>Data!$V$107:$V$115</c:f>
              <c:numCache>
                <c:formatCode>#,##0</c:formatCode>
                <c:ptCount val="9"/>
                <c:pt idx="0">
                  <c:v>52481821</c:v>
                </c:pt>
                <c:pt idx="1">
                  <c:v>48949445</c:v>
                </c:pt>
                <c:pt idx="2">
                  <c:v>49104344</c:v>
                </c:pt>
                <c:pt idx="3">
                  <c:v>48720588</c:v>
                </c:pt>
                <c:pt idx="4">
                  <c:v>47400065</c:v>
                </c:pt>
                <c:pt idx="5">
                  <c:v>45425017</c:v>
                </c:pt>
                <c:pt idx="6">
                  <c:v>42681815</c:v>
                </c:pt>
                <c:pt idx="7">
                  <c:v>39811865</c:v>
                </c:pt>
                <c:pt idx="8">
                  <c:v>37389383</c:v>
                </c:pt>
              </c:numCache>
            </c:numRef>
          </c:xVal>
          <c:yVal>
            <c:numRef>
              <c:f>Data!$U$107:$U$115</c:f>
              <c:numCache>
                <c:formatCode>0.00%</c:formatCode>
                <c:ptCount val="9"/>
                <c:pt idx="0">
                  <c:v>6.0447788196983489E-3</c:v>
                </c:pt>
                <c:pt idx="1">
                  <c:v>5.4035137681336326E-3</c:v>
                </c:pt>
                <c:pt idx="2">
                  <c:v>4.2642663141981901E-3</c:v>
                </c:pt>
                <c:pt idx="3">
                  <c:v>3.4178979941703494E-3</c:v>
                </c:pt>
                <c:pt idx="4">
                  <c:v>3.8529061088840278E-3</c:v>
                </c:pt>
                <c:pt idx="5">
                  <c:v>4.1595141285252577E-3</c:v>
                </c:pt>
                <c:pt idx="6">
                  <c:v>3.0768372900730674E-3</c:v>
                </c:pt>
                <c:pt idx="7">
                  <c:v>3.4323184809352688E-3</c:v>
                </c:pt>
                <c:pt idx="8">
                  <c:v>3.1722641692161651E-3</c:v>
                </c:pt>
              </c:numCache>
            </c:numRef>
          </c:yVal>
          <c:smooth val="0"/>
          <c:extLst>
            <c:ext xmlns:c16="http://schemas.microsoft.com/office/drawing/2014/chart" uri="{C3380CC4-5D6E-409C-BE32-E72D297353CC}">
              <c16:uniqueId val="{00000004-C721-4B4C-B1C1-516504BC7900}"/>
            </c:ext>
          </c:extLst>
        </c:ser>
        <c:ser>
          <c:idx val="5"/>
          <c:order val="5"/>
          <c:tx>
            <c:strRef>
              <c:f>'Grafy náklady PF vs AUM'!$U$10</c:f>
              <c:strCache>
                <c:ptCount val="1"/>
                <c:pt idx="0">
                  <c:v>6</c:v>
                </c:pt>
              </c:strCache>
            </c:strRef>
          </c:tx>
          <c:spPr>
            <a:ln w="19050" cap="rnd">
              <a:solidFill>
                <a:schemeClr val="accent6">
                  <a:alpha val="60000"/>
                </a:schemeClr>
              </a:solidFill>
              <a:round/>
            </a:ln>
            <a:effectLst/>
          </c:spPr>
          <c:marker>
            <c:symbol val="circle"/>
            <c:size val="6"/>
            <c:spPr>
              <a:solidFill>
                <a:schemeClr val="lt1"/>
              </a:solidFill>
              <a:ln w="38100">
                <a:solidFill>
                  <a:schemeClr val="accent6">
                    <a:alpha val="60000"/>
                  </a:schemeClr>
                </a:solidFill>
              </a:ln>
              <a:effectLst/>
            </c:spPr>
          </c:marker>
          <c:xVal>
            <c:numRef>
              <c:f>Data!$V$91:$V$99</c:f>
              <c:numCache>
                <c:formatCode>#,##0</c:formatCode>
                <c:ptCount val="9"/>
                <c:pt idx="0">
                  <c:v>65472716</c:v>
                </c:pt>
                <c:pt idx="1">
                  <c:v>65318711</c:v>
                </c:pt>
                <c:pt idx="2">
                  <c:v>66105959</c:v>
                </c:pt>
                <c:pt idx="3">
                  <c:v>64862222</c:v>
                </c:pt>
                <c:pt idx="4">
                  <c:v>61908179</c:v>
                </c:pt>
                <c:pt idx="5">
                  <c:v>57404360</c:v>
                </c:pt>
                <c:pt idx="6">
                  <c:v>52439960</c:v>
                </c:pt>
                <c:pt idx="7">
                  <c:v>47452652</c:v>
                </c:pt>
                <c:pt idx="8">
                  <c:v>43012186</c:v>
                </c:pt>
              </c:numCache>
            </c:numRef>
          </c:xVal>
          <c:yVal>
            <c:numRef>
              <c:f>Data!$U$91:$U$99</c:f>
              <c:numCache>
                <c:formatCode>0.00%</c:formatCode>
                <c:ptCount val="9"/>
                <c:pt idx="0">
                  <c:v>1.8886340380319644E-3</c:v>
                </c:pt>
                <c:pt idx="1">
                  <c:v>3.4925980091676948E-3</c:v>
                </c:pt>
                <c:pt idx="2">
                  <c:v>-1.0725205574886221E-4</c:v>
                </c:pt>
                <c:pt idx="3">
                  <c:v>-3.4440694924080771E-4</c:v>
                </c:pt>
                <c:pt idx="4">
                  <c:v>1.0621536776263441E-3</c:v>
                </c:pt>
                <c:pt idx="5">
                  <c:v>2.1016522089959719E-3</c:v>
                </c:pt>
                <c:pt idx="6">
                  <c:v>1.1613471863822931E-3</c:v>
                </c:pt>
                <c:pt idx="7">
                  <c:v>1.5237504533993169E-3</c:v>
                </c:pt>
                <c:pt idx="8">
                  <c:v>2.841287815504192E-3</c:v>
                </c:pt>
              </c:numCache>
            </c:numRef>
          </c:yVal>
          <c:smooth val="0"/>
          <c:extLst>
            <c:ext xmlns:c16="http://schemas.microsoft.com/office/drawing/2014/chart" uri="{C3380CC4-5D6E-409C-BE32-E72D297353CC}">
              <c16:uniqueId val="{00000005-C721-4B4C-B1C1-516504BC7900}"/>
            </c:ext>
          </c:extLst>
        </c:ser>
        <c:ser>
          <c:idx val="6"/>
          <c:order val="6"/>
          <c:tx>
            <c:strRef>
              <c:f>'Grafy náklady PF vs AUM'!$U$11</c:f>
              <c:strCache>
                <c:ptCount val="1"/>
                <c:pt idx="0">
                  <c:v>7</c:v>
                </c:pt>
              </c:strCache>
            </c:strRef>
          </c:tx>
          <c:spPr>
            <a:ln w="19050" cap="rnd">
              <a:solidFill>
                <a:schemeClr val="accent1">
                  <a:lumMod val="60000"/>
                  <a:alpha val="60000"/>
                </a:schemeClr>
              </a:solidFill>
              <a:round/>
            </a:ln>
            <a:effectLst/>
          </c:spPr>
          <c:marker>
            <c:symbol val="circle"/>
            <c:size val="6"/>
            <c:spPr>
              <a:solidFill>
                <a:schemeClr val="lt1"/>
              </a:solidFill>
              <a:ln w="38100">
                <a:solidFill>
                  <a:schemeClr val="accent1">
                    <a:lumMod val="60000"/>
                    <a:alpha val="60000"/>
                  </a:schemeClr>
                </a:solidFill>
              </a:ln>
              <a:effectLst/>
            </c:spPr>
          </c:marker>
          <c:xVal>
            <c:numRef>
              <c:f>Data!$V$67:$V$75</c:f>
              <c:numCache>
                <c:formatCode>#,##0</c:formatCode>
                <c:ptCount val="9"/>
                <c:pt idx="0">
                  <c:v>42944043</c:v>
                </c:pt>
                <c:pt idx="1">
                  <c:v>46139337</c:v>
                </c:pt>
                <c:pt idx="2">
                  <c:v>50086391</c:v>
                </c:pt>
                <c:pt idx="3">
                  <c:v>52483381</c:v>
                </c:pt>
                <c:pt idx="4">
                  <c:v>49264905</c:v>
                </c:pt>
                <c:pt idx="5">
                  <c:v>45607551</c:v>
                </c:pt>
                <c:pt idx="6">
                  <c:v>43766746</c:v>
                </c:pt>
                <c:pt idx="7">
                  <c:v>44291647</c:v>
                </c:pt>
                <c:pt idx="8">
                  <c:v>42267619</c:v>
                </c:pt>
              </c:numCache>
            </c:numRef>
          </c:xVal>
          <c:yVal>
            <c:numRef>
              <c:f>Data!$U$67:$U$75</c:f>
              <c:numCache>
                <c:formatCode>0.00%</c:formatCode>
                <c:ptCount val="9"/>
                <c:pt idx="0">
                  <c:v>-5.5199739810245631E-4</c:v>
                </c:pt>
                <c:pt idx="1">
                  <c:v>-2.4255875198206686E-3</c:v>
                </c:pt>
                <c:pt idx="2">
                  <c:v>3.3782430041725308E-3</c:v>
                </c:pt>
                <c:pt idx="3">
                  <c:v>9.2708775755129032E-3</c:v>
                </c:pt>
                <c:pt idx="4">
                  <c:v>9.2320283577122502E-3</c:v>
                </c:pt>
                <c:pt idx="5">
                  <c:v>5.4992428775664801E-3</c:v>
                </c:pt>
                <c:pt idx="6">
                  <c:v>4.6216595586064365E-3</c:v>
                </c:pt>
                <c:pt idx="7">
                  <c:v>4.6513736551724982E-3</c:v>
                </c:pt>
                <c:pt idx="8">
                  <c:v>5.034870783707973E-3</c:v>
                </c:pt>
              </c:numCache>
            </c:numRef>
          </c:yVal>
          <c:smooth val="0"/>
          <c:extLst>
            <c:ext xmlns:c16="http://schemas.microsoft.com/office/drawing/2014/chart" uri="{C3380CC4-5D6E-409C-BE32-E72D297353CC}">
              <c16:uniqueId val="{00000006-C721-4B4C-B1C1-516504BC7900}"/>
            </c:ext>
          </c:extLst>
        </c:ser>
        <c:ser>
          <c:idx val="7"/>
          <c:order val="7"/>
          <c:tx>
            <c:strRef>
              <c:f>'Grafy náklady PF vs AUM'!$U$12</c:f>
              <c:strCache>
                <c:ptCount val="1"/>
                <c:pt idx="0">
                  <c:v>8</c:v>
                </c:pt>
              </c:strCache>
            </c:strRef>
          </c:tx>
          <c:spPr>
            <a:ln w="19050" cap="rnd">
              <a:solidFill>
                <a:schemeClr val="accent2">
                  <a:lumMod val="60000"/>
                  <a:alpha val="60000"/>
                </a:schemeClr>
              </a:solidFill>
              <a:round/>
            </a:ln>
            <a:effectLst/>
          </c:spPr>
          <c:marker>
            <c:symbol val="circle"/>
            <c:size val="6"/>
            <c:spPr>
              <a:solidFill>
                <a:schemeClr val="lt1"/>
              </a:solidFill>
              <a:ln w="38100">
                <a:solidFill>
                  <a:schemeClr val="accent2">
                    <a:lumMod val="60000"/>
                    <a:alpha val="60000"/>
                  </a:schemeClr>
                </a:solidFill>
              </a:ln>
              <a:effectLst/>
            </c:spPr>
          </c:marker>
          <c:xVal>
            <c:numRef>
              <c:f>Data!$V$51:$V$59</c:f>
              <c:numCache>
                <c:formatCode>#,##0</c:formatCode>
                <c:ptCount val="9"/>
                <c:pt idx="0">
                  <c:v>36794344</c:v>
                </c:pt>
                <c:pt idx="1">
                  <c:v>28312311</c:v>
                </c:pt>
                <c:pt idx="2">
                  <c:v>22773168</c:v>
                </c:pt>
                <c:pt idx="3">
                  <c:v>18631274</c:v>
                </c:pt>
                <c:pt idx="4">
                  <c:v>16815907</c:v>
                </c:pt>
                <c:pt idx="5">
                  <c:v>14051881</c:v>
                </c:pt>
                <c:pt idx="6">
                  <c:v>12146729</c:v>
                </c:pt>
                <c:pt idx="7">
                  <c:v>9932550</c:v>
                </c:pt>
                <c:pt idx="8">
                  <c:v>8711699</c:v>
                </c:pt>
              </c:numCache>
            </c:numRef>
          </c:xVal>
          <c:yVal>
            <c:numRef>
              <c:f>Data!$U$51:$U$59</c:f>
              <c:numCache>
                <c:formatCode>0.00%</c:formatCode>
                <c:ptCount val="9"/>
                <c:pt idx="0">
                  <c:v>1.1070451480260119E-3</c:v>
                </c:pt>
                <c:pt idx="1">
                  <c:v>1.2117696785684503E-3</c:v>
                </c:pt>
                <c:pt idx="2">
                  <c:v>7.2897191993665531E-4</c:v>
                </c:pt>
                <c:pt idx="3">
                  <c:v>3.7098912291236768E-4</c:v>
                </c:pt>
                <c:pt idx="4">
                  <c:v>1.3183945415492604E-3</c:v>
                </c:pt>
                <c:pt idx="5">
                  <c:v>1.2399763419573507E-3</c:v>
                </c:pt>
                <c:pt idx="6">
                  <c:v>8.5389243474518948E-4</c:v>
                </c:pt>
                <c:pt idx="7">
                  <c:v>1.6234501714061343E-3</c:v>
                </c:pt>
                <c:pt idx="8">
                  <c:v>2.1530817352619735E-3</c:v>
                </c:pt>
              </c:numCache>
            </c:numRef>
          </c:yVal>
          <c:smooth val="0"/>
          <c:extLst>
            <c:ext xmlns:c16="http://schemas.microsoft.com/office/drawing/2014/chart" uri="{C3380CC4-5D6E-409C-BE32-E72D297353CC}">
              <c16:uniqueId val="{00000007-C721-4B4C-B1C1-516504BC7900}"/>
            </c:ext>
          </c:extLst>
        </c:ser>
        <c:ser>
          <c:idx val="8"/>
          <c:order val="8"/>
          <c:tx>
            <c:strRef>
              <c:f>'Grafy náklady PF vs AUM'!$U$13</c:f>
              <c:strCache>
                <c:ptCount val="1"/>
                <c:pt idx="0">
                  <c:v>9</c:v>
                </c:pt>
              </c:strCache>
            </c:strRef>
          </c:tx>
          <c:spPr>
            <a:ln w="19050" cap="rnd">
              <a:solidFill>
                <a:schemeClr val="accent3">
                  <a:lumMod val="60000"/>
                  <a:alpha val="60000"/>
                </a:schemeClr>
              </a:solidFill>
              <a:round/>
            </a:ln>
            <a:effectLst/>
          </c:spPr>
          <c:marker>
            <c:symbol val="circle"/>
            <c:size val="6"/>
            <c:spPr>
              <a:solidFill>
                <a:schemeClr val="lt1"/>
              </a:solidFill>
              <a:ln w="38100">
                <a:solidFill>
                  <a:schemeClr val="accent3">
                    <a:lumMod val="60000"/>
                    <a:alpha val="60000"/>
                  </a:schemeClr>
                </a:solidFill>
              </a:ln>
              <a:effectLst/>
            </c:spPr>
          </c:marker>
          <c:xVal>
            <c:numRef>
              <c:f>Data!$V$83:$V$87</c:f>
              <c:numCache>
                <c:formatCode>#,##0</c:formatCode>
                <c:ptCount val="5"/>
                <c:pt idx="0">
                  <c:v>15874974</c:v>
                </c:pt>
                <c:pt idx="1">
                  <c:v>10423631</c:v>
                </c:pt>
                <c:pt idx="2">
                  <c:v>5999778</c:v>
                </c:pt>
                <c:pt idx="3">
                  <c:v>3099748</c:v>
                </c:pt>
                <c:pt idx="4">
                  <c:v>774022</c:v>
                </c:pt>
              </c:numCache>
            </c:numRef>
          </c:xVal>
          <c:yVal>
            <c:numRef>
              <c:f>Data!$U$83:$U$87</c:f>
              <c:numCache>
                <c:formatCode>0.00%</c:formatCode>
                <c:ptCount val="5"/>
                <c:pt idx="0">
                  <c:v>5.9023088793720233E-3</c:v>
                </c:pt>
                <c:pt idx="1">
                  <c:v>4.4069096459765315E-3</c:v>
                </c:pt>
                <c:pt idx="2">
                  <c:v>6.1548943977593838E-3</c:v>
                </c:pt>
                <c:pt idx="3">
                  <c:v>6.1830832699948509E-3</c:v>
                </c:pt>
                <c:pt idx="4">
                  <c:v>1.8715230316450955E-2</c:v>
                </c:pt>
              </c:numCache>
            </c:numRef>
          </c:yVal>
          <c:smooth val="0"/>
          <c:extLst>
            <c:ext xmlns:c16="http://schemas.microsoft.com/office/drawing/2014/chart" uri="{C3380CC4-5D6E-409C-BE32-E72D297353CC}">
              <c16:uniqueId val="{00000008-C721-4B4C-B1C1-516504BC7900}"/>
            </c:ext>
          </c:extLst>
        </c:ser>
        <c:dLbls>
          <c:showLegendKey val="0"/>
          <c:showVal val="0"/>
          <c:showCatName val="0"/>
          <c:showSerName val="0"/>
          <c:showPercent val="0"/>
          <c:showBubbleSize val="0"/>
        </c:dLbls>
        <c:axId val="1356629264"/>
        <c:axId val="1302625664"/>
      </c:scatterChart>
      <c:valAx>
        <c:axId val="1356629264"/>
        <c:scaling>
          <c:orientation val="minMax"/>
          <c:max val="160000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cs-CZ" cap="none" baseline="0"/>
                  <a:t>Objem spravovaného majetku (mld. Kč)</a:t>
                </a:r>
              </a:p>
            </c:rich>
          </c:tx>
          <c:layout>
            <c:manualLayout>
              <c:xMode val="edge"/>
              <c:yMode val="edge"/>
              <c:x val="0.319790625"/>
              <c:y val="0.93751979166666666"/>
            </c:manualLayout>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cs-CZ"/>
            </a:p>
          </c:txPr>
        </c:title>
        <c:numFmt formatCode="#,##0" sourceLinked="1"/>
        <c:majorTickMark val="none"/>
        <c:minorTickMark val="none"/>
        <c:tickLblPos val="nextTo"/>
        <c:spPr>
          <a:noFill/>
          <a:ln>
            <a:solidFill>
              <a:schemeClr val="tx1">
                <a:lumMod val="15000"/>
                <a:lumOff val="85000"/>
              </a:schemeClr>
            </a:solidFill>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cs-CZ"/>
          </a:p>
        </c:txPr>
        <c:crossAx val="1302625664"/>
        <c:crosses val="autoZero"/>
        <c:crossBetween val="midCat"/>
        <c:dispUnits>
          <c:builtInUnit val="millions"/>
        </c:dispUnits>
      </c:valAx>
      <c:valAx>
        <c:axId val="13026256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lgn="l">
                  <a:defRPr sz="900" b="0" i="0" u="none" strike="noStrike" kern="1200" cap="all" baseline="0">
                    <a:solidFill>
                      <a:schemeClr val="tx1">
                        <a:lumMod val="65000"/>
                        <a:lumOff val="35000"/>
                      </a:schemeClr>
                    </a:solidFill>
                    <a:latin typeface="+mn-lt"/>
                    <a:ea typeface="+mn-ea"/>
                    <a:cs typeface="+mn-cs"/>
                  </a:defRPr>
                </a:pPr>
                <a:r>
                  <a:rPr lang="cs-CZ" cap="none" baseline="0"/>
                  <a:t>Náklady na provoz vůči objemu spravovaného majetku</a:t>
                </a:r>
              </a:p>
            </c:rich>
          </c:tx>
          <c:layout>
            <c:manualLayout>
              <c:xMode val="edge"/>
              <c:yMode val="edge"/>
              <c:x val="1.6329166666666665E-2"/>
              <c:y val="5.5082638888888889E-2"/>
            </c:manualLayout>
          </c:layout>
          <c:overlay val="0"/>
          <c:spPr>
            <a:noFill/>
            <a:ln>
              <a:noFill/>
            </a:ln>
            <a:effectLst/>
          </c:spPr>
          <c:txPr>
            <a:bodyPr rot="0" spcFirstLastPara="1" vertOverflow="ellipsis" wrap="square" anchor="ctr" anchorCtr="1"/>
            <a:lstStyle/>
            <a:p>
              <a:pPr algn="l">
                <a:defRPr sz="900" b="0" i="0" u="none" strike="noStrike" kern="1200" cap="all" baseline="0">
                  <a:solidFill>
                    <a:schemeClr val="tx1">
                      <a:lumMod val="65000"/>
                      <a:lumOff val="35000"/>
                    </a:schemeClr>
                  </a:solidFill>
                  <a:latin typeface="+mn-lt"/>
                  <a:ea typeface="+mn-ea"/>
                  <a:cs typeface="+mn-cs"/>
                </a:defRPr>
              </a:pPr>
              <a:endParaRPr lang="cs-CZ"/>
            </a:p>
          </c:txPr>
        </c:title>
        <c:numFmt formatCode="0.00%" sourceLinked="1"/>
        <c:majorTickMark val="none"/>
        <c:minorTickMark val="none"/>
        <c:tickLblPos val="nextTo"/>
        <c:spPr>
          <a:noFill/>
          <a:ln>
            <a:solidFill>
              <a:schemeClr val="tx1">
                <a:lumMod val="25000"/>
                <a:lumOff val="75000"/>
              </a:schemeClr>
            </a:solid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cs-CZ"/>
          </a:p>
        </c:txPr>
        <c:crossAx val="1356629264"/>
        <c:crosses val="autoZero"/>
        <c:crossBetween val="midCat"/>
      </c:valAx>
      <c:spPr>
        <a:noFill/>
        <a:ln>
          <a:noFill/>
        </a:ln>
        <a:effectLst/>
      </c:spPr>
    </c:plotArea>
    <c:legend>
      <c:legendPos val="t"/>
      <c:layout>
        <c:manualLayout>
          <c:xMode val="edge"/>
          <c:yMode val="edge"/>
          <c:x val="0.23237356790503055"/>
          <c:y val="8.5106382978723402E-2"/>
          <c:w val="0.69824097963985399"/>
          <c:h val="5.319186165559092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noFill/>
      <a:round/>
    </a:ln>
    <a:effectLst/>
  </c:spPr>
  <c:txPr>
    <a:bodyPr/>
    <a:lstStyle/>
    <a:p>
      <a:pPr>
        <a:defRPr/>
      </a:pPr>
      <a:endParaRPr lang="cs-CZ"/>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9.1875439495090652E-2"/>
          <c:y val="0.20700729166666668"/>
          <c:w val="0.83216539773763121"/>
          <c:h val="0.6568750000000001"/>
        </c:manualLayout>
      </c:layout>
      <c:scatterChart>
        <c:scatterStyle val="lineMarker"/>
        <c:varyColors val="0"/>
        <c:ser>
          <c:idx val="0"/>
          <c:order val="0"/>
          <c:tx>
            <c:strRef>
              <c:f>'Grafy náklady PF vs AUM'!$U$5</c:f>
              <c:strCache>
                <c:ptCount val="1"/>
                <c:pt idx="0">
                  <c:v>1</c:v>
                </c:pt>
              </c:strCache>
            </c:strRef>
          </c:tx>
          <c:spPr>
            <a:ln w="19050" cap="rnd">
              <a:solidFill>
                <a:schemeClr val="accent1">
                  <a:alpha val="60000"/>
                </a:schemeClr>
              </a:solidFill>
              <a:round/>
            </a:ln>
            <a:effectLst/>
          </c:spPr>
          <c:marker>
            <c:symbol val="circle"/>
            <c:size val="6"/>
            <c:spPr>
              <a:solidFill>
                <a:schemeClr val="lt1"/>
              </a:solidFill>
              <a:ln w="38100">
                <a:solidFill>
                  <a:schemeClr val="accent1">
                    <a:alpha val="60000"/>
                  </a:schemeClr>
                </a:solidFill>
              </a:ln>
              <a:effectLst/>
            </c:spPr>
          </c:marker>
          <c:xVal>
            <c:numRef>
              <c:f>Data!$V$3:$V$11</c:f>
              <c:numCache>
                <c:formatCode>#,##0</c:formatCode>
                <c:ptCount val="9"/>
                <c:pt idx="0">
                  <c:v>149761000</c:v>
                </c:pt>
                <c:pt idx="1">
                  <c:v>129073000</c:v>
                </c:pt>
                <c:pt idx="2">
                  <c:v>122257000</c:v>
                </c:pt>
                <c:pt idx="3">
                  <c:v>116970000</c:v>
                </c:pt>
                <c:pt idx="4">
                  <c:v>111832000</c:v>
                </c:pt>
                <c:pt idx="5">
                  <c:v>103050000</c:v>
                </c:pt>
                <c:pt idx="6">
                  <c:v>93320000</c:v>
                </c:pt>
                <c:pt idx="7">
                  <c:v>84386000</c:v>
                </c:pt>
                <c:pt idx="8">
                  <c:v>77105400</c:v>
                </c:pt>
              </c:numCache>
            </c:numRef>
          </c:xVal>
          <c:yVal>
            <c:numRef>
              <c:f>Data!$I$3:$I$11</c:f>
              <c:numCache>
                <c:formatCode>0.00%</c:formatCode>
                <c:ptCount val="9"/>
                <c:pt idx="0">
                  <c:v>2.7239802084654883E-3</c:v>
                </c:pt>
                <c:pt idx="1">
                  <c:v>2.8201870259465574E-3</c:v>
                </c:pt>
                <c:pt idx="2">
                  <c:v>2.6425889724105778E-3</c:v>
                </c:pt>
                <c:pt idx="3">
                  <c:v>2.737180473625716E-3</c:v>
                </c:pt>
                <c:pt idx="4">
                  <c:v>2.880427784533944E-3</c:v>
                </c:pt>
                <c:pt idx="5">
                  <c:v>2.5534109655507035E-3</c:v>
                </c:pt>
                <c:pt idx="6">
                  <c:v>3.2352764680668666E-3</c:v>
                </c:pt>
                <c:pt idx="7">
                  <c:v>3.0462398976133483E-3</c:v>
                </c:pt>
                <c:pt idx="8">
                  <c:v>2.9437886321839976E-3</c:v>
                </c:pt>
              </c:numCache>
            </c:numRef>
          </c:yVal>
          <c:smooth val="0"/>
          <c:extLst>
            <c:ext xmlns:c16="http://schemas.microsoft.com/office/drawing/2014/chart" uri="{C3380CC4-5D6E-409C-BE32-E72D297353CC}">
              <c16:uniqueId val="{00000000-9FB0-4119-884C-A7A5F24579F4}"/>
            </c:ext>
          </c:extLst>
        </c:ser>
        <c:ser>
          <c:idx val="1"/>
          <c:order val="1"/>
          <c:tx>
            <c:strRef>
              <c:f>'Grafy náklady PF vs AUM'!$U$6</c:f>
              <c:strCache>
                <c:ptCount val="1"/>
                <c:pt idx="0">
                  <c:v>2</c:v>
                </c:pt>
              </c:strCache>
            </c:strRef>
          </c:tx>
          <c:spPr>
            <a:ln w="19050" cap="rnd">
              <a:solidFill>
                <a:schemeClr val="accent2">
                  <a:alpha val="60000"/>
                </a:schemeClr>
              </a:solidFill>
              <a:round/>
            </a:ln>
            <a:effectLst/>
          </c:spPr>
          <c:marker>
            <c:symbol val="circle"/>
            <c:size val="6"/>
            <c:spPr>
              <a:solidFill>
                <a:schemeClr val="lt1"/>
              </a:solidFill>
              <a:ln w="38100">
                <a:solidFill>
                  <a:schemeClr val="accent2">
                    <a:alpha val="60000"/>
                  </a:schemeClr>
                </a:solidFill>
              </a:ln>
              <a:effectLst/>
            </c:spPr>
          </c:marker>
          <c:xVal>
            <c:numRef>
              <c:f>Data!$V$19:$V$27</c:f>
              <c:numCache>
                <c:formatCode>#,##0</c:formatCode>
                <c:ptCount val="9"/>
                <c:pt idx="0">
                  <c:v>139165196</c:v>
                </c:pt>
                <c:pt idx="1">
                  <c:v>134781707</c:v>
                </c:pt>
                <c:pt idx="2">
                  <c:v>138273053</c:v>
                </c:pt>
                <c:pt idx="3">
                  <c:v>138516062</c:v>
                </c:pt>
                <c:pt idx="4">
                  <c:v>136289348</c:v>
                </c:pt>
                <c:pt idx="5">
                  <c:v>128071120</c:v>
                </c:pt>
                <c:pt idx="6">
                  <c:v>118711215</c:v>
                </c:pt>
                <c:pt idx="7">
                  <c:v>109820811</c:v>
                </c:pt>
                <c:pt idx="8">
                  <c:v>102838625</c:v>
                </c:pt>
              </c:numCache>
            </c:numRef>
          </c:xVal>
          <c:yVal>
            <c:numRef>
              <c:f>Data!$I$19:$I$27</c:f>
              <c:numCache>
                <c:formatCode>0.00%</c:formatCode>
                <c:ptCount val="9"/>
                <c:pt idx="0">
                  <c:v>2.2803690083546464E-3</c:v>
                </c:pt>
                <c:pt idx="1">
                  <c:v>2.4754620447120469E-3</c:v>
                </c:pt>
                <c:pt idx="2">
                  <c:v>2.5105253154423372E-3</c:v>
                </c:pt>
                <c:pt idx="3">
                  <c:v>2.3547810650291229E-3</c:v>
                </c:pt>
                <c:pt idx="4">
                  <c:v>2.2796278987261718E-3</c:v>
                </c:pt>
                <c:pt idx="5">
                  <c:v>1.7777778471836586E-3</c:v>
                </c:pt>
                <c:pt idx="6">
                  <c:v>1.3745373594230335E-3</c:v>
                </c:pt>
                <c:pt idx="7">
                  <c:v>1.3278448653962318E-3</c:v>
                </c:pt>
                <c:pt idx="8">
                  <c:v>1.2854022503704227E-3</c:v>
                </c:pt>
              </c:numCache>
            </c:numRef>
          </c:yVal>
          <c:smooth val="0"/>
          <c:extLst>
            <c:ext xmlns:c16="http://schemas.microsoft.com/office/drawing/2014/chart" uri="{C3380CC4-5D6E-409C-BE32-E72D297353CC}">
              <c16:uniqueId val="{00000001-9FB0-4119-884C-A7A5F24579F4}"/>
            </c:ext>
          </c:extLst>
        </c:ser>
        <c:ser>
          <c:idx val="2"/>
          <c:order val="2"/>
          <c:tx>
            <c:strRef>
              <c:f>'Grafy náklady PF vs AUM'!$U$7</c:f>
              <c:strCache>
                <c:ptCount val="1"/>
                <c:pt idx="0">
                  <c:v>3</c:v>
                </c:pt>
              </c:strCache>
            </c:strRef>
          </c:tx>
          <c:spPr>
            <a:ln w="19050" cap="rnd">
              <a:solidFill>
                <a:schemeClr val="accent3">
                  <a:alpha val="60000"/>
                </a:schemeClr>
              </a:solidFill>
              <a:round/>
            </a:ln>
            <a:effectLst/>
          </c:spPr>
          <c:marker>
            <c:symbol val="circle"/>
            <c:size val="6"/>
            <c:spPr>
              <a:solidFill>
                <a:schemeClr val="lt1"/>
              </a:solidFill>
              <a:ln w="38100">
                <a:solidFill>
                  <a:schemeClr val="accent3">
                    <a:alpha val="60000"/>
                  </a:schemeClr>
                </a:solidFill>
              </a:ln>
              <a:effectLst/>
            </c:spPr>
          </c:marker>
          <c:xVal>
            <c:numRef>
              <c:f>Data!$V$35:$V$43</c:f>
              <c:numCache>
                <c:formatCode>#,##0</c:formatCode>
                <c:ptCount val="9"/>
                <c:pt idx="0">
                  <c:v>82855482</c:v>
                </c:pt>
                <c:pt idx="1">
                  <c:v>73566845</c:v>
                </c:pt>
                <c:pt idx="2">
                  <c:v>71908514</c:v>
                </c:pt>
                <c:pt idx="3">
                  <c:v>73388534</c:v>
                </c:pt>
                <c:pt idx="4">
                  <c:v>69983874</c:v>
                </c:pt>
                <c:pt idx="5">
                  <c:v>65793634</c:v>
                </c:pt>
                <c:pt idx="6">
                  <c:v>60631317</c:v>
                </c:pt>
                <c:pt idx="7">
                  <c:v>54992840</c:v>
                </c:pt>
                <c:pt idx="8">
                  <c:v>51615297</c:v>
                </c:pt>
              </c:numCache>
            </c:numRef>
          </c:xVal>
          <c:yVal>
            <c:numRef>
              <c:f>Data!$I$35:$I$43</c:f>
              <c:numCache>
                <c:formatCode>0.00%</c:formatCode>
                <c:ptCount val="9"/>
                <c:pt idx="0">
                  <c:v>2.9241517175652904E-3</c:v>
                </c:pt>
                <c:pt idx="1">
                  <c:v>2.763364393294289E-3</c:v>
                </c:pt>
                <c:pt idx="2">
                  <c:v>2.5080618409107996E-3</c:v>
                </c:pt>
                <c:pt idx="3">
                  <c:v>2.3049377168373468E-3</c:v>
                </c:pt>
                <c:pt idx="4">
                  <c:v>2.1387069826971855E-3</c:v>
                </c:pt>
                <c:pt idx="5">
                  <c:v>2.0239648109420436E-3</c:v>
                </c:pt>
                <c:pt idx="6">
                  <c:v>1.8297145021606573E-3</c:v>
                </c:pt>
                <c:pt idx="7">
                  <c:v>1.5873702831132198E-3</c:v>
                </c:pt>
                <c:pt idx="8">
                  <c:v>1.5330145247444765E-3</c:v>
                </c:pt>
              </c:numCache>
            </c:numRef>
          </c:yVal>
          <c:smooth val="0"/>
          <c:extLst>
            <c:ext xmlns:c16="http://schemas.microsoft.com/office/drawing/2014/chart" uri="{C3380CC4-5D6E-409C-BE32-E72D297353CC}">
              <c16:uniqueId val="{00000002-9FB0-4119-884C-A7A5F24579F4}"/>
            </c:ext>
          </c:extLst>
        </c:ser>
        <c:ser>
          <c:idx val="3"/>
          <c:order val="3"/>
          <c:tx>
            <c:strRef>
              <c:f>'Grafy náklady PF vs AUM'!$U$8</c:f>
              <c:strCache>
                <c:ptCount val="1"/>
                <c:pt idx="0">
                  <c:v>4</c:v>
                </c:pt>
              </c:strCache>
            </c:strRef>
          </c:tx>
          <c:spPr>
            <a:ln w="19050" cap="rnd">
              <a:solidFill>
                <a:schemeClr val="accent4">
                  <a:alpha val="60000"/>
                </a:schemeClr>
              </a:solidFill>
              <a:round/>
            </a:ln>
            <a:effectLst/>
          </c:spPr>
          <c:marker>
            <c:symbol val="circle"/>
            <c:size val="6"/>
            <c:spPr>
              <a:solidFill>
                <a:schemeClr val="lt1"/>
              </a:solidFill>
              <a:ln w="38100">
                <a:solidFill>
                  <a:schemeClr val="accent4">
                    <a:alpha val="60000"/>
                  </a:schemeClr>
                </a:solidFill>
              </a:ln>
              <a:effectLst/>
            </c:spPr>
          </c:marker>
          <c:xVal>
            <c:numRef>
              <c:f>Data!$V$123:$V$131</c:f>
              <c:numCache>
                <c:formatCode>#,##0</c:formatCode>
                <c:ptCount val="9"/>
                <c:pt idx="0">
                  <c:v>78073846</c:v>
                </c:pt>
                <c:pt idx="1">
                  <c:v>73370571</c:v>
                </c:pt>
                <c:pt idx="2">
                  <c:v>74091558</c:v>
                </c:pt>
                <c:pt idx="3">
                  <c:v>74427656</c:v>
                </c:pt>
                <c:pt idx="4">
                  <c:v>72053247</c:v>
                </c:pt>
                <c:pt idx="5">
                  <c:v>68551091</c:v>
                </c:pt>
                <c:pt idx="6">
                  <c:v>63773595</c:v>
                </c:pt>
                <c:pt idx="7">
                  <c:v>58850207</c:v>
                </c:pt>
                <c:pt idx="8">
                  <c:v>54590966</c:v>
                </c:pt>
              </c:numCache>
            </c:numRef>
          </c:xVal>
          <c:yVal>
            <c:numRef>
              <c:f>Data!$I$123:$I$131</c:f>
              <c:numCache>
                <c:formatCode>0.00%</c:formatCode>
                <c:ptCount val="9"/>
                <c:pt idx="0">
                  <c:v>3.5075510434057519E-3</c:v>
                </c:pt>
                <c:pt idx="1">
                  <c:v>3.3336117828495571E-3</c:v>
                </c:pt>
                <c:pt idx="2">
                  <c:v>2.7085676886427464E-3</c:v>
                </c:pt>
                <c:pt idx="3">
                  <c:v>2.2471754316701845E-3</c:v>
                </c:pt>
                <c:pt idx="4">
                  <c:v>2.1898388562558465E-3</c:v>
                </c:pt>
                <c:pt idx="5">
                  <c:v>1.8913630419098654E-3</c:v>
                </c:pt>
                <c:pt idx="6">
                  <c:v>1.9138014722237314E-3</c:v>
                </c:pt>
                <c:pt idx="7">
                  <c:v>1.7680481565680813E-3</c:v>
                </c:pt>
                <c:pt idx="8">
                  <c:v>1.6459316730171069E-3</c:v>
                </c:pt>
              </c:numCache>
            </c:numRef>
          </c:yVal>
          <c:smooth val="0"/>
          <c:extLst>
            <c:ext xmlns:c16="http://schemas.microsoft.com/office/drawing/2014/chart" uri="{C3380CC4-5D6E-409C-BE32-E72D297353CC}">
              <c16:uniqueId val="{00000003-9FB0-4119-884C-A7A5F24579F4}"/>
            </c:ext>
          </c:extLst>
        </c:ser>
        <c:ser>
          <c:idx val="4"/>
          <c:order val="4"/>
          <c:tx>
            <c:strRef>
              <c:f>'Grafy náklady PF vs AUM'!$U$9</c:f>
              <c:strCache>
                <c:ptCount val="1"/>
                <c:pt idx="0">
                  <c:v>5</c:v>
                </c:pt>
              </c:strCache>
            </c:strRef>
          </c:tx>
          <c:spPr>
            <a:ln w="19050" cap="rnd">
              <a:solidFill>
                <a:schemeClr val="accent5">
                  <a:alpha val="60000"/>
                </a:schemeClr>
              </a:solidFill>
              <a:round/>
            </a:ln>
            <a:effectLst/>
          </c:spPr>
          <c:marker>
            <c:symbol val="circle"/>
            <c:size val="6"/>
            <c:spPr>
              <a:solidFill>
                <a:schemeClr val="lt1"/>
              </a:solidFill>
              <a:ln w="38100">
                <a:solidFill>
                  <a:schemeClr val="accent5">
                    <a:alpha val="60000"/>
                  </a:schemeClr>
                </a:solidFill>
              </a:ln>
              <a:effectLst/>
            </c:spPr>
          </c:marker>
          <c:xVal>
            <c:numRef>
              <c:f>Data!$V$107:$V$115</c:f>
              <c:numCache>
                <c:formatCode>#,##0</c:formatCode>
                <c:ptCount val="9"/>
                <c:pt idx="0">
                  <c:v>52481821</c:v>
                </c:pt>
                <c:pt idx="1">
                  <c:v>48949445</c:v>
                </c:pt>
                <c:pt idx="2">
                  <c:v>49104344</c:v>
                </c:pt>
                <c:pt idx="3">
                  <c:v>48720588</c:v>
                </c:pt>
                <c:pt idx="4">
                  <c:v>47400065</c:v>
                </c:pt>
                <c:pt idx="5">
                  <c:v>45425017</c:v>
                </c:pt>
                <c:pt idx="6">
                  <c:v>42681815</c:v>
                </c:pt>
                <c:pt idx="7">
                  <c:v>39811865</c:v>
                </c:pt>
                <c:pt idx="8">
                  <c:v>37389383</c:v>
                </c:pt>
              </c:numCache>
            </c:numRef>
          </c:xVal>
          <c:yVal>
            <c:numRef>
              <c:f>Data!$I$107:$I$115</c:f>
              <c:numCache>
                <c:formatCode>0.00%</c:formatCode>
                <c:ptCount val="9"/>
                <c:pt idx="0">
                  <c:v>2.6385898461869302E-3</c:v>
                </c:pt>
                <c:pt idx="1">
                  <c:v>2.3038054874779481E-3</c:v>
                </c:pt>
                <c:pt idx="2">
                  <c:v>2.0479450860803679E-3</c:v>
                </c:pt>
                <c:pt idx="3">
                  <c:v>1.6269302825327148E-3</c:v>
                </c:pt>
                <c:pt idx="4">
                  <c:v>1.4316014123609325E-3</c:v>
                </c:pt>
                <c:pt idx="5">
                  <c:v>1.4071321096038336E-3</c:v>
                </c:pt>
                <c:pt idx="6">
                  <c:v>1.3184303432269692E-3</c:v>
                </c:pt>
                <c:pt idx="7">
                  <c:v>1.4786546673962648E-3</c:v>
                </c:pt>
                <c:pt idx="8">
                  <c:v>1.7123042656253514E-3</c:v>
                </c:pt>
              </c:numCache>
            </c:numRef>
          </c:yVal>
          <c:smooth val="0"/>
          <c:extLst>
            <c:ext xmlns:c16="http://schemas.microsoft.com/office/drawing/2014/chart" uri="{C3380CC4-5D6E-409C-BE32-E72D297353CC}">
              <c16:uniqueId val="{00000004-9FB0-4119-884C-A7A5F24579F4}"/>
            </c:ext>
          </c:extLst>
        </c:ser>
        <c:ser>
          <c:idx val="5"/>
          <c:order val="5"/>
          <c:tx>
            <c:strRef>
              <c:f>'Grafy náklady PF vs AUM'!$U$10</c:f>
              <c:strCache>
                <c:ptCount val="1"/>
                <c:pt idx="0">
                  <c:v>6</c:v>
                </c:pt>
              </c:strCache>
            </c:strRef>
          </c:tx>
          <c:spPr>
            <a:ln w="19050" cap="rnd">
              <a:solidFill>
                <a:schemeClr val="accent6">
                  <a:alpha val="60000"/>
                </a:schemeClr>
              </a:solidFill>
              <a:round/>
            </a:ln>
            <a:effectLst/>
          </c:spPr>
          <c:marker>
            <c:symbol val="circle"/>
            <c:size val="6"/>
            <c:spPr>
              <a:solidFill>
                <a:schemeClr val="lt1"/>
              </a:solidFill>
              <a:ln w="38100">
                <a:solidFill>
                  <a:schemeClr val="accent6">
                    <a:alpha val="60000"/>
                  </a:schemeClr>
                </a:solidFill>
              </a:ln>
              <a:effectLst/>
            </c:spPr>
          </c:marker>
          <c:xVal>
            <c:numRef>
              <c:f>Data!$V$91:$V$99</c:f>
              <c:numCache>
                <c:formatCode>#,##0</c:formatCode>
                <c:ptCount val="9"/>
                <c:pt idx="0">
                  <c:v>65472716</c:v>
                </c:pt>
                <c:pt idx="1">
                  <c:v>65318711</c:v>
                </c:pt>
                <c:pt idx="2">
                  <c:v>66105959</c:v>
                </c:pt>
                <c:pt idx="3">
                  <c:v>64862222</c:v>
                </c:pt>
                <c:pt idx="4">
                  <c:v>61908179</c:v>
                </c:pt>
                <c:pt idx="5">
                  <c:v>57404360</c:v>
                </c:pt>
                <c:pt idx="6">
                  <c:v>52439960</c:v>
                </c:pt>
                <c:pt idx="7">
                  <c:v>47452652</c:v>
                </c:pt>
                <c:pt idx="8">
                  <c:v>43012186</c:v>
                </c:pt>
              </c:numCache>
            </c:numRef>
          </c:xVal>
          <c:yVal>
            <c:numRef>
              <c:f>Data!$I$91:$I$99</c:f>
              <c:numCache>
                <c:formatCode>0.00%</c:formatCode>
                <c:ptCount val="9"/>
                <c:pt idx="0">
                  <c:v>1.742405187528802E-3</c:v>
                </c:pt>
                <c:pt idx="1">
                  <c:v>1.8426113767003149E-3</c:v>
                </c:pt>
                <c:pt idx="2">
                  <c:v>2.7811411071125979E-3</c:v>
                </c:pt>
                <c:pt idx="3">
                  <c:v>3.5950356433980938E-3</c:v>
                </c:pt>
                <c:pt idx="4">
                  <c:v>3.8870146705494279E-3</c:v>
                </c:pt>
                <c:pt idx="5">
                  <c:v>3.7487396427727791E-3</c:v>
                </c:pt>
                <c:pt idx="6">
                  <c:v>4.2269673737356014E-3</c:v>
                </c:pt>
                <c:pt idx="7">
                  <c:v>4.8062224214570765E-3</c:v>
                </c:pt>
                <c:pt idx="8">
                  <c:v>4.4524823732511529E-3</c:v>
                </c:pt>
              </c:numCache>
            </c:numRef>
          </c:yVal>
          <c:smooth val="0"/>
          <c:extLst>
            <c:ext xmlns:c16="http://schemas.microsoft.com/office/drawing/2014/chart" uri="{C3380CC4-5D6E-409C-BE32-E72D297353CC}">
              <c16:uniqueId val="{00000005-9FB0-4119-884C-A7A5F24579F4}"/>
            </c:ext>
          </c:extLst>
        </c:ser>
        <c:ser>
          <c:idx val="6"/>
          <c:order val="6"/>
          <c:tx>
            <c:strRef>
              <c:f>'Grafy náklady PF vs AUM'!$U$11</c:f>
              <c:strCache>
                <c:ptCount val="1"/>
                <c:pt idx="0">
                  <c:v>7</c:v>
                </c:pt>
              </c:strCache>
            </c:strRef>
          </c:tx>
          <c:spPr>
            <a:ln w="19050" cap="rnd">
              <a:solidFill>
                <a:schemeClr val="accent1">
                  <a:lumMod val="60000"/>
                  <a:alpha val="60000"/>
                </a:schemeClr>
              </a:solidFill>
              <a:round/>
            </a:ln>
            <a:effectLst/>
          </c:spPr>
          <c:marker>
            <c:symbol val="circle"/>
            <c:size val="6"/>
            <c:spPr>
              <a:solidFill>
                <a:schemeClr val="lt1"/>
              </a:solidFill>
              <a:ln w="38100">
                <a:solidFill>
                  <a:schemeClr val="accent1">
                    <a:lumMod val="60000"/>
                    <a:alpha val="60000"/>
                  </a:schemeClr>
                </a:solidFill>
              </a:ln>
              <a:effectLst/>
            </c:spPr>
          </c:marker>
          <c:xVal>
            <c:numRef>
              <c:f>Data!$V$67:$V$75</c:f>
              <c:numCache>
                <c:formatCode>#,##0</c:formatCode>
                <c:ptCount val="9"/>
                <c:pt idx="0">
                  <c:v>42944043</c:v>
                </c:pt>
                <c:pt idx="1">
                  <c:v>46139337</c:v>
                </c:pt>
                <c:pt idx="2">
                  <c:v>50086391</c:v>
                </c:pt>
                <c:pt idx="3">
                  <c:v>52483381</c:v>
                </c:pt>
                <c:pt idx="4">
                  <c:v>49264905</c:v>
                </c:pt>
                <c:pt idx="5">
                  <c:v>45607551</c:v>
                </c:pt>
                <c:pt idx="6">
                  <c:v>43766746</c:v>
                </c:pt>
                <c:pt idx="7">
                  <c:v>44291647</c:v>
                </c:pt>
                <c:pt idx="8">
                  <c:v>42267619</c:v>
                </c:pt>
              </c:numCache>
            </c:numRef>
          </c:xVal>
          <c:yVal>
            <c:numRef>
              <c:f>Data!$I$67:$I$75</c:f>
              <c:numCache>
                <c:formatCode>0.00%</c:formatCode>
                <c:ptCount val="9"/>
                <c:pt idx="0">
                  <c:v>1.8764185756799843E-3</c:v>
                </c:pt>
                <c:pt idx="1">
                  <c:v>1.2573652716336172E-3</c:v>
                </c:pt>
                <c:pt idx="2">
                  <c:v>1.1413878871807713E-3</c:v>
                </c:pt>
                <c:pt idx="3">
                  <c:v>1.1150767897365453E-3</c:v>
                </c:pt>
                <c:pt idx="4">
                  <c:v>1.2548689579326298E-3</c:v>
                </c:pt>
                <c:pt idx="5">
                  <c:v>1.2746792740526672E-3</c:v>
                </c:pt>
                <c:pt idx="6">
                  <c:v>1.371155168812413E-3</c:v>
                </c:pt>
                <c:pt idx="7">
                  <c:v>1.2885725382937329E-3</c:v>
                </c:pt>
                <c:pt idx="8">
                  <c:v>3.0575415189580467E-3</c:v>
                </c:pt>
              </c:numCache>
            </c:numRef>
          </c:yVal>
          <c:smooth val="0"/>
          <c:extLst>
            <c:ext xmlns:c16="http://schemas.microsoft.com/office/drawing/2014/chart" uri="{C3380CC4-5D6E-409C-BE32-E72D297353CC}">
              <c16:uniqueId val="{00000006-9FB0-4119-884C-A7A5F24579F4}"/>
            </c:ext>
          </c:extLst>
        </c:ser>
        <c:ser>
          <c:idx val="7"/>
          <c:order val="7"/>
          <c:tx>
            <c:strRef>
              <c:f>'Grafy náklady PF vs AUM'!$U$12</c:f>
              <c:strCache>
                <c:ptCount val="1"/>
                <c:pt idx="0">
                  <c:v>8</c:v>
                </c:pt>
              </c:strCache>
            </c:strRef>
          </c:tx>
          <c:spPr>
            <a:ln w="19050" cap="rnd">
              <a:solidFill>
                <a:schemeClr val="accent2">
                  <a:lumMod val="60000"/>
                  <a:alpha val="60000"/>
                </a:schemeClr>
              </a:solidFill>
              <a:round/>
            </a:ln>
            <a:effectLst/>
          </c:spPr>
          <c:marker>
            <c:symbol val="circle"/>
            <c:size val="6"/>
            <c:spPr>
              <a:solidFill>
                <a:schemeClr val="lt1"/>
              </a:solidFill>
              <a:ln w="38100">
                <a:solidFill>
                  <a:schemeClr val="accent2">
                    <a:lumMod val="60000"/>
                    <a:alpha val="60000"/>
                  </a:schemeClr>
                </a:solidFill>
              </a:ln>
              <a:effectLst/>
            </c:spPr>
          </c:marker>
          <c:xVal>
            <c:numRef>
              <c:f>Data!$V$51:$V$59</c:f>
              <c:numCache>
                <c:formatCode>#,##0</c:formatCode>
                <c:ptCount val="9"/>
                <c:pt idx="0">
                  <c:v>36794344</c:v>
                </c:pt>
                <c:pt idx="1">
                  <c:v>28312311</c:v>
                </c:pt>
                <c:pt idx="2">
                  <c:v>22773168</c:v>
                </c:pt>
                <c:pt idx="3">
                  <c:v>18631274</c:v>
                </c:pt>
                <c:pt idx="4">
                  <c:v>16815907</c:v>
                </c:pt>
                <c:pt idx="5">
                  <c:v>14051881</c:v>
                </c:pt>
                <c:pt idx="6">
                  <c:v>12146729</c:v>
                </c:pt>
                <c:pt idx="7">
                  <c:v>9932550</c:v>
                </c:pt>
                <c:pt idx="8">
                  <c:v>8711699</c:v>
                </c:pt>
              </c:numCache>
            </c:numRef>
          </c:xVal>
          <c:yVal>
            <c:numRef>
              <c:f>Data!$I$51:$I$59</c:f>
              <c:numCache>
                <c:formatCode>0.00%</c:formatCode>
                <c:ptCount val="9"/>
                <c:pt idx="0">
                  <c:v>7.3534671524514749E-3</c:v>
                </c:pt>
                <c:pt idx="1">
                  <c:v>7.8465159555502206E-3</c:v>
                </c:pt>
                <c:pt idx="2">
                  <c:v>5.4165059512141659E-3</c:v>
                </c:pt>
                <c:pt idx="3">
                  <c:v>4.8068103125959074E-3</c:v>
                </c:pt>
                <c:pt idx="4">
                  <c:v>5.5080585305330243E-3</c:v>
                </c:pt>
                <c:pt idx="5">
                  <c:v>3.9213967155002239E-3</c:v>
                </c:pt>
                <c:pt idx="6">
                  <c:v>3.981977370203945E-3</c:v>
                </c:pt>
                <c:pt idx="7">
                  <c:v>3.9671584839744076E-3</c:v>
                </c:pt>
                <c:pt idx="8">
                  <c:v>4.2265004794127987E-3</c:v>
                </c:pt>
              </c:numCache>
            </c:numRef>
          </c:yVal>
          <c:smooth val="0"/>
          <c:extLst>
            <c:ext xmlns:c16="http://schemas.microsoft.com/office/drawing/2014/chart" uri="{C3380CC4-5D6E-409C-BE32-E72D297353CC}">
              <c16:uniqueId val="{00000007-9FB0-4119-884C-A7A5F24579F4}"/>
            </c:ext>
          </c:extLst>
        </c:ser>
        <c:ser>
          <c:idx val="8"/>
          <c:order val="8"/>
          <c:tx>
            <c:strRef>
              <c:f>'Grafy náklady PF vs AUM'!$U$13</c:f>
              <c:strCache>
                <c:ptCount val="1"/>
                <c:pt idx="0">
                  <c:v>9</c:v>
                </c:pt>
              </c:strCache>
            </c:strRef>
          </c:tx>
          <c:spPr>
            <a:ln w="19050" cap="rnd">
              <a:solidFill>
                <a:schemeClr val="accent3">
                  <a:lumMod val="60000"/>
                  <a:alpha val="60000"/>
                </a:schemeClr>
              </a:solidFill>
              <a:round/>
            </a:ln>
            <a:effectLst/>
          </c:spPr>
          <c:marker>
            <c:symbol val="circle"/>
            <c:size val="6"/>
            <c:spPr>
              <a:solidFill>
                <a:schemeClr val="lt1"/>
              </a:solidFill>
              <a:ln w="38100">
                <a:solidFill>
                  <a:schemeClr val="accent3">
                    <a:lumMod val="60000"/>
                    <a:alpha val="60000"/>
                  </a:schemeClr>
                </a:solidFill>
              </a:ln>
              <a:effectLst/>
            </c:spPr>
          </c:marker>
          <c:xVal>
            <c:numRef>
              <c:f>Data!$V$83:$V$87</c:f>
              <c:numCache>
                <c:formatCode>#,##0</c:formatCode>
                <c:ptCount val="5"/>
                <c:pt idx="0">
                  <c:v>15874974</c:v>
                </c:pt>
                <c:pt idx="1">
                  <c:v>10423631</c:v>
                </c:pt>
                <c:pt idx="2">
                  <c:v>5999778</c:v>
                </c:pt>
                <c:pt idx="3">
                  <c:v>3099748</c:v>
                </c:pt>
                <c:pt idx="4">
                  <c:v>774022</c:v>
                </c:pt>
              </c:numCache>
            </c:numRef>
          </c:xVal>
          <c:yVal>
            <c:numRef>
              <c:f>Data!$I$83:$I$87</c:f>
              <c:numCache>
                <c:formatCode>0.00%</c:formatCode>
                <c:ptCount val="5"/>
                <c:pt idx="0">
                  <c:v>5.5215208541443909E-3</c:v>
                </c:pt>
                <c:pt idx="1">
                  <c:v>5.7353334936741333E-3</c:v>
                </c:pt>
                <c:pt idx="2">
                  <c:v>5.302362854092268E-3</c:v>
                </c:pt>
                <c:pt idx="3">
                  <c:v>6.8163605557613072E-3</c:v>
                </c:pt>
                <c:pt idx="4">
                  <c:v>2.8577999074961692E-3</c:v>
                </c:pt>
              </c:numCache>
            </c:numRef>
          </c:yVal>
          <c:smooth val="0"/>
          <c:extLst>
            <c:ext xmlns:c16="http://schemas.microsoft.com/office/drawing/2014/chart" uri="{C3380CC4-5D6E-409C-BE32-E72D297353CC}">
              <c16:uniqueId val="{00000008-9FB0-4119-884C-A7A5F24579F4}"/>
            </c:ext>
          </c:extLst>
        </c:ser>
        <c:dLbls>
          <c:showLegendKey val="0"/>
          <c:showVal val="0"/>
          <c:showCatName val="0"/>
          <c:showSerName val="0"/>
          <c:showPercent val="0"/>
          <c:showBubbleSize val="0"/>
        </c:dLbls>
        <c:axId val="1356629264"/>
        <c:axId val="1302625664"/>
      </c:scatterChart>
      <c:valAx>
        <c:axId val="1356629264"/>
        <c:scaling>
          <c:orientation val="minMax"/>
          <c:max val="16000000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cs-CZ" cap="none" baseline="0"/>
                  <a:t>Objem spravovaného majetku (mld. Kč)</a:t>
                </a:r>
              </a:p>
            </c:rich>
          </c:tx>
          <c:layout>
            <c:manualLayout>
              <c:xMode val="edge"/>
              <c:yMode val="edge"/>
              <c:x val="0.31538090277777781"/>
              <c:y val="0.93751979166666666"/>
            </c:manualLayout>
          </c:layout>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cs-CZ"/>
            </a:p>
          </c:txPr>
        </c:title>
        <c:numFmt formatCode="#,##0" sourceLinked="1"/>
        <c:majorTickMark val="none"/>
        <c:minorTickMark val="none"/>
        <c:tickLblPos val="nextTo"/>
        <c:spPr>
          <a:noFill/>
          <a:ln>
            <a:solidFill>
              <a:schemeClr val="tx1">
                <a:lumMod val="15000"/>
                <a:lumOff val="85000"/>
              </a:schemeClr>
            </a:solidFill>
          </a:ln>
          <a:effectLst/>
        </c:spPr>
        <c:txPr>
          <a:bodyPr rot="-60000000" spcFirstLastPara="1" vertOverflow="ellipsis" vert="horz" wrap="square" anchor="ctr" anchorCtr="1"/>
          <a:lstStyle/>
          <a:p>
            <a:pPr>
              <a:defRPr sz="900" b="0" i="0" u="none" strike="noStrike" kern="1200" cap="none" spc="20" normalizeH="0" baseline="0">
                <a:solidFill>
                  <a:schemeClr val="tx1">
                    <a:lumMod val="65000"/>
                    <a:lumOff val="35000"/>
                  </a:schemeClr>
                </a:solidFill>
                <a:latin typeface="+mn-lt"/>
                <a:ea typeface="+mn-ea"/>
                <a:cs typeface="+mn-cs"/>
              </a:defRPr>
            </a:pPr>
            <a:endParaRPr lang="cs-CZ"/>
          </a:p>
        </c:txPr>
        <c:crossAx val="1302625664"/>
        <c:crosses val="autoZero"/>
        <c:crossBetween val="midCat"/>
        <c:dispUnits>
          <c:builtInUnit val="millions"/>
        </c:dispUnits>
      </c:valAx>
      <c:valAx>
        <c:axId val="1302625664"/>
        <c:scaling>
          <c:orientation val="minMax"/>
          <c:max val="1.0000000000000002E-2"/>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lgn="l">
                  <a:defRPr sz="900" b="0" i="0" u="none" strike="noStrike" kern="1200" cap="all" baseline="0">
                    <a:solidFill>
                      <a:schemeClr val="tx1">
                        <a:lumMod val="65000"/>
                        <a:lumOff val="35000"/>
                      </a:schemeClr>
                    </a:solidFill>
                    <a:latin typeface="+mn-lt"/>
                    <a:ea typeface="+mn-ea"/>
                    <a:cs typeface="+mn-cs"/>
                  </a:defRPr>
                </a:pPr>
                <a:r>
                  <a:rPr lang="cs-CZ" cap="none" baseline="0"/>
                  <a:t>Náklady na správu portfolia vůči objemu spravovaného majetku</a:t>
                </a:r>
              </a:p>
            </c:rich>
          </c:tx>
          <c:layout>
            <c:manualLayout>
              <c:xMode val="edge"/>
              <c:yMode val="edge"/>
              <c:x val="1.6152649849159349E-2"/>
              <c:y val="1.6895193065405833E-2"/>
            </c:manualLayout>
          </c:layout>
          <c:overlay val="0"/>
          <c:spPr>
            <a:noFill/>
            <a:ln>
              <a:noFill/>
            </a:ln>
            <a:effectLst/>
          </c:spPr>
          <c:txPr>
            <a:bodyPr rot="0" spcFirstLastPara="1" vertOverflow="ellipsis" wrap="square" anchor="ctr" anchorCtr="1"/>
            <a:lstStyle/>
            <a:p>
              <a:pPr algn="l">
                <a:defRPr sz="900" b="0" i="0" u="none" strike="noStrike" kern="1200" cap="all" baseline="0">
                  <a:solidFill>
                    <a:schemeClr val="tx1">
                      <a:lumMod val="65000"/>
                      <a:lumOff val="35000"/>
                    </a:schemeClr>
                  </a:solidFill>
                  <a:latin typeface="+mn-lt"/>
                  <a:ea typeface="+mn-ea"/>
                  <a:cs typeface="+mn-cs"/>
                </a:defRPr>
              </a:pPr>
              <a:endParaRPr lang="cs-CZ"/>
            </a:p>
          </c:txPr>
        </c:title>
        <c:numFmt formatCode="0.00%" sourceLinked="1"/>
        <c:majorTickMark val="none"/>
        <c:minorTickMark val="none"/>
        <c:tickLblPos val="nextTo"/>
        <c:spPr>
          <a:noFill/>
          <a:ln>
            <a:solidFill>
              <a:schemeClr val="tx1">
                <a:lumMod val="25000"/>
                <a:lumOff val="75000"/>
              </a:schemeClr>
            </a:solid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cs-CZ"/>
          </a:p>
        </c:txPr>
        <c:crossAx val="1356629264"/>
        <c:crosses val="autoZero"/>
        <c:crossBetween val="midCat"/>
      </c:valAx>
      <c:spPr>
        <a:noFill/>
        <a:ln>
          <a:noFill/>
        </a:ln>
        <a:effectLst/>
      </c:spPr>
    </c:plotArea>
    <c:legend>
      <c:legendPos val="t"/>
      <c:layout>
        <c:manualLayout>
          <c:xMode val="edge"/>
          <c:yMode val="edge"/>
          <c:x val="0.21879122495087094"/>
          <c:y val="7.2498029944838449E-2"/>
          <c:w val="0.69824097963985399"/>
          <c:h val="5.3191861655590922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cs-CZ"/>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lt1"/>
    </a:solidFill>
    <a:ln w="9525" cap="flat" cmpd="sng" algn="ctr">
      <a:noFill/>
      <a:round/>
    </a:ln>
    <a:effectLst/>
  </c:spPr>
  <c:txPr>
    <a:bodyPr/>
    <a:lstStyle/>
    <a:p>
      <a:pPr>
        <a:defRPr/>
      </a:pPr>
      <a:endParaRPr lang="cs-CZ"/>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a:solidFill>
          <a:schemeClr val="tx1">
            <a:lumMod val="15000"/>
            <a:lumOff val="85000"/>
          </a:schemeClr>
        </a:solidFill>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19050" cap="rnd">
        <a:solidFill>
          <a:schemeClr val="phClr">
            <a:alpha val="60000"/>
          </a:schemeClr>
        </a:solidFill>
        <a:round/>
      </a:ln>
    </cs:spPr>
  </cs:dataPointLine>
  <cs:dataPointMarker>
    <cs:lnRef idx="0">
      <cs:styleClr val="auto"/>
    </cs:lnRef>
    <cs:fillRef idx="0">
      <cs:styleClr val="auto"/>
    </cs:fillRef>
    <cs:effectRef idx="0"/>
    <cs:fontRef idx="minor">
      <a:schemeClr val="dk1"/>
    </cs:fontRef>
    <cs:spPr>
      <a:solidFill>
        <a:schemeClr val="lt1"/>
      </a:solidFill>
      <a:ln w="38100">
        <a:solidFill>
          <a:schemeClr val="phClr">
            <a:alpha val="60000"/>
          </a:schemeClr>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a:solidFill>
          <a:schemeClr val="tx1">
            <a:lumMod val="15000"/>
            <a:lumOff val="85000"/>
          </a:schemeClr>
        </a:solidFill>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a:solidFill>
          <a:schemeClr val="tx1">
            <a:lumMod val="25000"/>
            <a:lumOff val="75000"/>
          </a:schemeClr>
        </a:solidFill>
      </a:ln>
    </cs:spPr>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4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a:solidFill>
          <a:schemeClr val="tx1">
            <a:lumMod val="15000"/>
            <a:lumOff val="85000"/>
          </a:schemeClr>
        </a:solidFill>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19050" cap="rnd">
        <a:solidFill>
          <a:schemeClr val="phClr">
            <a:alpha val="60000"/>
          </a:schemeClr>
        </a:solidFill>
        <a:round/>
      </a:ln>
    </cs:spPr>
  </cs:dataPointLine>
  <cs:dataPointMarker>
    <cs:lnRef idx="0">
      <cs:styleClr val="auto"/>
    </cs:lnRef>
    <cs:fillRef idx="0">
      <cs:styleClr val="auto"/>
    </cs:fillRef>
    <cs:effectRef idx="0"/>
    <cs:fontRef idx="minor">
      <a:schemeClr val="dk1"/>
    </cs:fontRef>
    <cs:spPr>
      <a:solidFill>
        <a:schemeClr val="lt1"/>
      </a:solidFill>
      <a:ln w="38100">
        <a:solidFill>
          <a:schemeClr val="phClr">
            <a:alpha val="60000"/>
          </a:schemeClr>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a:solidFill>
          <a:schemeClr val="tx1">
            <a:lumMod val="15000"/>
            <a:lumOff val="85000"/>
          </a:schemeClr>
        </a:solidFill>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a:solidFill>
          <a:schemeClr val="tx1">
            <a:lumMod val="25000"/>
            <a:lumOff val="75000"/>
          </a:schemeClr>
        </a:solidFill>
      </a:ln>
    </cs:spPr>
    <cs:defRPr sz="900" kern="1200" spc="20" baseline="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4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a:solidFill>
          <a:schemeClr val="tx1">
            <a:lumMod val="15000"/>
            <a:lumOff val="85000"/>
          </a:schemeClr>
        </a:solidFill>
      </a:ln>
    </cs:spPr>
    <cs:defRPr sz="900" kern="1200" cap="none" spc="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70000"/>
        </a:schemeClr>
      </a:solidFill>
    </cs:spPr>
  </cs:dataPoint>
  <cs:dataPoint3D>
    <cs:lnRef idx="0"/>
    <cs:fillRef idx="0">
      <cs:styleClr val="auto"/>
    </cs:fillRef>
    <cs:effectRef idx="0"/>
    <cs:fontRef idx="minor">
      <a:schemeClr val="dk1"/>
    </cs:fontRef>
    <cs:spPr>
      <a:solidFill>
        <a:schemeClr val="phClr">
          <a:alpha val="70000"/>
        </a:schemeClr>
      </a:solidFill>
    </cs:spPr>
  </cs:dataPoint3D>
  <cs:dataPointLine>
    <cs:lnRef idx="0">
      <cs:styleClr val="auto"/>
    </cs:lnRef>
    <cs:fillRef idx="0"/>
    <cs:effectRef idx="0"/>
    <cs:fontRef idx="minor">
      <a:schemeClr val="dk1"/>
    </cs:fontRef>
    <cs:spPr>
      <a:ln w="19050" cap="rnd">
        <a:solidFill>
          <a:schemeClr val="phClr">
            <a:alpha val="60000"/>
          </a:schemeClr>
        </a:solidFill>
        <a:round/>
      </a:ln>
    </cs:spPr>
  </cs:dataPointLine>
  <cs:dataPointMarker>
    <cs:lnRef idx="0">
      <cs:styleClr val="auto"/>
    </cs:lnRef>
    <cs:fillRef idx="0">
      <cs:styleClr val="auto"/>
    </cs:fillRef>
    <cs:effectRef idx="0"/>
    <cs:fontRef idx="minor">
      <a:schemeClr val="dk1"/>
    </cs:fontRef>
    <cs:spPr>
      <a:solidFill>
        <a:schemeClr val="lt1"/>
      </a:solidFill>
      <a:ln w="38100">
        <a:solidFill>
          <a:schemeClr val="phClr">
            <a:alpha val="60000"/>
          </a:schemeClr>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15000"/>
            <a:lumOff val="8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baseline="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a:solidFill>
          <a:schemeClr val="tx1">
            <a:lumMod val="15000"/>
            <a:lumOff val="85000"/>
          </a:schemeClr>
        </a:solidFill>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1600" b="0" i="0" kern="1200" cap="none" spc="50" normalizeH="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a:solidFill>
          <a:schemeClr val="tx1">
            <a:lumMod val="25000"/>
            <a:lumOff val="75000"/>
          </a:schemeClr>
        </a:solidFill>
      </a:ln>
    </cs:spPr>
    <cs:defRPr sz="900" kern="1200" spc="20" baseline="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0.85023</cdr:x>
      <cdr:y>0.24823</cdr:y>
    </cdr:from>
    <cdr:to>
      <cdr:x>0.88623</cdr:x>
      <cdr:y>0.62933</cdr:y>
    </cdr:to>
    <cdr:grpSp>
      <cdr:nvGrpSpPr>
        <cdr:cNvPr id="6" name="Skupina 5"/>
        <cdr:cNvGrpSpPr/>
      </cdr:nvGrpSpPr>
      <cdr:grpSpPr>
        <a:xfrm xmlns:a="http://schemas.openxmlformats.org/drawingml/2006/main">
          <a:off x="4897324" y="982990"/>
          <a:ext cx="207361" cy="1509158"/>
          <a:chOff x="9832975" y="1266825"/>
          <a:chExt cx="415924" cy="1371600"/>
        </a:xfrm>
      </cdr:grpSpPr>
      <cdr:sp macro="" textlink="">
        <cdr:nvSpPr>
          <cdr:cNvPr id="4" name="Pravá složená závorka 3"/>
          <cdr:cNvSpPr/>
        </cdr:nvSpPr>
        <cdr:spPr>
          <a:xfrm xmlns:a="http://schemas.openxmlformats.org/drawingml/2006/main">
            <a:off x="9852024" y="1624172"/>
            <a:ext cx="396875" cy="1014253"/>
          </a:xfrm>
          <a:prstGeom xmlns:a="http://schemas.openxmlformats.org/drawingml/2006/main" prst="rightBrace">
            <a:avLst/>
          </a:prstGeom>
          <a:ln xmlns:a="http://schemas.openxmlformats.org/drawingml/2006/main">
            <a:solidFill>
              <a:srgbClr val="00B0F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cs-CZ"/>
          </a:p>
        </cdr:txBody>
      </cdr:sp>
      <cdr:sp macro="" textlink="">
        <cdr:nvSpPr>
          <cdr:cNvPr id="5" name="Pravá složená závorka 4"/>
          <cdr:cNvSpPr/>
        </cdr:nvSpPr>
        <cdr:spPr>
          <a:xfrm xmlns:a="http://schemas.openxmlformats.org/drawingml/2006/main">
            <a:off x="9832975" y="1266825"/>
            <a:ext cx="273050" cy="1362075"/>
          </a:xfrm>
          <a:prstGeom xmlns:a="http://schemas.openxmlformats.org/drawingml/2006/main" prst="rightBrace">
            <a:avLst/>
          </a:prstGeom>
          <a:ln xmlns:a="http://schemas.openxmlformats.org/drawingml/2006/main">
            <a:solidFill>
              <a:srgbClr val="00B05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chemeClr val="tx1"/>
                </a:solidFill>
                <a:latin typeface="+mn-lt"/>
                <a:ea typeface="+mn-ea"/>
                <a:cs typeface="+mn-cs"/>
              </a:defRPr>
            </a:lvl1pPr>
            <a:lvl2pPr marL="457200" indent="0">
              <a:defRPr sz="1100">
                <a:solidFill>
                  <a:schemeClr val="tx1"/>
                </a:solidFill>
                <a:latin typeface="+mn-lt"/>
                <a:ea typeface="+mn-ea"/>
                <a:cs typeface="+mn-cs"/>
              </a:defRPr>
            </a:lvl2pPr>
            <a:lvl3pPr marL="914400" indent="0">
              <a:defRPr sz="1100">
                <a:solidFill>
                  <a:schemeClr val="tx1"/>
                </a:solidFill>
                <a:latin typeface="+mn-lt"/>
                <a:ea typeface="+mn-ea"/>
                <a:cs typeface="+mn-cs"/>
              </a:defRPr>
            </a:lvl3pPr>
            <a:lvl4pPr marL="1371600" indent="0">
              <a:defRPr sz="1100">
                <a:solidFill>
                  <a:schemeClr val="tx1"/>
                </a:solidFill>
                <a:latin typeface="+mn-lt"/>
                <a:ea typeface="+mn-ea"/>
                <a:cs typeface="+mn-cs"/>
              </a:defRPr>
            </a:lvl4pPr>
            <a:lvl5pPr marL="1828800" indent="0">
              <a:defRPr sz="1100">
                <a:solidFill>
                  <a:schemeClr val="tx1"/>
                </a:solidFill>
                <a:latin typeface="+mn-lt"/>
                <a:ea typeface="+mn-ea"/>
                <a:cs typeface="+mn-cs"/>
              </a:defRPr>
            </a:lvl5pPr>
            <a:lvl6pPr marL="2286000" indent="0">
              <a:defRPr sz="1100">
                <a:solidFill>
                  <a:schemeClr val="tx1"/>
                </a:solidFill>
                <a:latin typeface="+mn-lt"/>
                <a:ea typeface="+mn-ea"/>
                <a:cs typeface="+mn-cs"/>
              </a:defRPr>
            </a:lvl6pPr>
            <a:lvl7pPr marL="2743200" indent="0">
              <a:defRPr sz="1100">
                <a:solidFill>
                  <a:schemeClr val="tx1"/>
                </a:solidFill>
                <a:latin typeface="+mn-lt"/>
                <a:ea typeface="+mn-ea"/>
                <a:cs typeface="+mn-cs"/>
              </a:defRPr>
            </a:lvl7pPr>
            <a:lvl8pPr marL="3200400" indent="0">
              <a:defRPr sz="1100">
                <a:solidFill>
                  <a:schemeClr val="tx1"/>
                </a:solidFill>
                <a:latin typeface="+mn-lt"/>
                <a:ea typeface="+mn-ea"/>
                <a:cs typeface="+mn-cs"/>
              </a:defRPr>
            </a:lvl8pPr>
            <a:lvl9pPr marL="3657600" indent="0">
              <a:defRPr sz="1100">
                <a:solidFill>
                  <a:schemeClr val="tx1"/>
                </a:solidFill>
                <a:latin typeface="+mn-lt"/>
                <a:ea typeface="+mn-ea"/>
                <a:cs typeface="+mn-cs"/>
              </a:defRPr>
            </a:lvl9pPr>
          </a:lstStyle>
          <a:p xmlns:a="http://schemas.openxmlformats.org/drawingml/2006/main">
            <a:endParaRPr lang="cs-CZ"/>
          </a:p>
        </cdr:txBody>
      </cdr:sp>
    </cdr:grpSp>
  </cdr:relSizeAnchor>
  <cdr:relSizeAnchor xmlns:cdr="http://schemas.openxmlformats.org/drawingml/2006/chartDrawing">
    <cdr:from>
      <cdr:x>0.87716</cdr:x>
      <cdr:y>0.40898</cdr:y>
    </cdr:from>
    <cdr:to>
      <cdr:x>0.99527</cdr:x>
      <cdr:y>0.46572</cdr:y>
    </cdr:to>
    <cdr:sp macro="" textlink="">
      <cdr:nvSpPr>
        <cdr:cNvPr id="22" name="TextovéPole 21"/>
        <cdr:cNvSpPr txBox="1"/>
      </cdr:nvSpPr>
      <cdr:spPr>
        <a:xfrm xmlns:a="http://schemas.openxmlformats.org/drawingml/2006/main">
          <a:off x="5297061" y="1647825"/>
          <a:ext cx="713213" cy="2286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cs-CZ" sz="900" b="1">
              <a:solidFill>
                <a:srgbClr val="00B050"/>
              </a:solidFill>
            </a:rPr>
            <a:t>Varianta 0</a:t>
          </a:r>
        </a:p>
      </cdr:txBody>
    </cdr:sp>
  </cdr:relSizeAnchor>
  <cdr:relSizeAnchor xmlns:cdr="http://schemas.openxmlformats.org/drawingml/2006/chartDrawing">
    <cdr:from>
      <cdr:x>0.88305</cdr:x>
      <cdr:y>0.46178</cdr:y>
    </cdr:from>
    <cdr:to>
      <cdr:x>1</cdr:x>
      <cdr:y>0.51473</cdr:y>
    </cdr:to>
    <cdr:sp macro="" textlink="">
      <cdr:nvSpPr>
        <cdr:cNvPr id="23" name="TextovéPole 1"/>
        <cdr:cNvSpPr txBox="1"/>
      </cdr:nvSpPr>
      <cdr:spPr>
        <a:xfrm xmlns:a="http://schemas.openxmlformats.org/drawingml/2006/main">
          <a:off x="5086350" y="1828649"/>
          <a:ext cx="673650" cy="209701"/>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1">
              <a:solidFill>
                <a:srgbClr val="00B0F0"/>
              </a:solidFill>
            </a:rPr>
            <a:t>Varianta 2</a:t>
          </a:r>
        </a:p>
      </cdr:txBody>
    </cdr:sp>
  </cdr:relSizeAnchor>
  <cdr:relSizeAnchor xmlns:cdr="http://schemas.openxmlformats.org/drawingml/2006/chartDrawing">
    <cdr:from>
      <cdr:x>0.85074</cdr:x>
      <cdr:y>0.64144</cdr:y>
    </cdr:from>
    <cdr:to>
      <cdr:x>0.97319</cdr:x>
      <cdr:y>0.68793</cdr:y>
    </cdr:to>
    <cdr:sp macro="" textlink="">
      <cdr:nvSpPr>
        <cdr:cNvPr id="24" name="TextovéPole 1"/>
        <cdr:cNvSpPr txBox="1"/>
      </cdr:nvSpPr>
      <cdr:spPr>
        <a:xfrm xmlns:a="http://schemas.openxmlformats.org/drawingml/2006/main">
          <a:off x="5137485" y="2586269"/>
          <a:ext cx="739457" cy="187448"/>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1">
              <a:solidFill>
                <a:srgbClr val="C00000"/>
              </a:solidFill>
            </a:rPr>
            <a:t>Varianta 1</a:t>
          </a:r>
        </a:p>
      </cdr:txBody>
    </cdr:sp>
  </cdr:relSizeAnchor>
  <cdr:relSizeAnchor xmlns:cdr="http://schemas.openxmlformats.org/drawingml/2006/chartDrawing">
    <cdr:from>
      <cdr:x>0</cdr:x>
      <cdr:y>0.021</cdr:y>
    </cdr:from>
    <cdr:to>
      <cdr:x>0.26624</cdr:x>
      <cdr:y>0.10613</cdr:y>
    </cdr:to>
    <cdr:sp macro="" textlink="">
      <cdr:nvSpPr>
        <cdr:cNvPr id="25" name="TextovéPole 1"/>
        <cdr:cNvSpPr txBox="1"/>
      </cdr:nvSpPr>
      <cdr:spPr>
        <a:xfrm xmlns:a="http://schemas.openxmlformats.org/drawingml/2006/main">
          <a:off x="0" y="83153"/>
          <a:ext cx="1533525" cy="33711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0">
              <a:solidFill>
                <a:srgbClr val="595959"/>
              </a:solidFill>
            </a:rPr>
            <a:t>Celkové</a:t>
          </a:r>
          <a:r>
            <a:rPr lang="cs-CZ" sz="900" b="0" baseline="0">
              <a:solidFill>
                <a:srgbClr val="595959"/>
              </a:solidFill>
            </a:rPr>
            <a:t> náklady vůči objemu spravovaného majetku </a:t>
          </a:r>
          <a:endParaRPr lang="cs-CZ" sz="900" b="0">
            <a:solidFill>
              <a:srgbClr val="595959"/>
            </a:solidFill>
          </a:endParaRPr>
        </a:p>
      </cdr:txBody>
    </cdr:sp>
  </cdr:relSizeAnchor>
  <cdr:relSizeAnchor xmlns:cdr="http://schemas.openxmlformats.org/drawingml/2006/chartDrawing">
    <cdr:from>
      <cdr:x>0.30923</cdr:x>
      <cdr:y>0.1945</cdr:y>
    </cdr:from>
    <cdr:to>
      <cdr:x>0.68927</cdr:x>
      <cdr:y>0.25015</cdr:y>
    </cdr:to>
    <cdr:sp macro="" textlink="">
      <cdr:nvSpPr>
        <cdr:cNvPr id="12" name="TextovéPole 1"/>
        <cdr:cNvSpPr txBox="1"/>
      </cdr:nvSpPr>
      <cdr:spPr>
        <a:xfrm xmlns:a="http://schemas.openxmlformats.org/drawingml/2006/main">
          <a:off x="1781175" y="770220"/>
          <a:ext cx="2189020" cy="22038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0">
              <a:solidFill>
                <a:srgbClr val="00B050"/>
              </a:solidFill>
            </a:rPr>
            <a:t>Celková úplata dynamické ÚF (varianta 0) </a:t>
          </a:r>
        </a:p>
      </cdr:txBody>
    </cdr:sp>
  </cdr:relSizeAnchor>
  <cdr:relSizeAnchor xmlns:cdr="http://schemas.openxmlformats.org/drawingml/2006/chartDrawing">
    <cdr:from>
      <cdr:x>0.30096</cdr:x>
      <cdr:y>0.28899</cdr:y>
    </cdr:from>
    <cdr:to>
      <cdr:x>0.68454</cdr:x>
      <cdr:y>0.33674</cdr:y>
    </cdr:to>
    <cdr:sp macro="" textlink="">
      <cdr:nvSpPr>
        <cdr:cNvPr id="13" name="TextovéPole 1"/>
        <cdr:cNvSpPr txBox="1"/>
      </cdr:nvSpPr>
      <cdr:spPr>
        <a:xfrm xmlns:a="http://schemas.openxmlformats.org/drawingml/2006/main">
          <a:off x="1733550" y="1144401"/>
          <a:ext cx="2209400" cy="1891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0">
              <a:solidFill>
                <a:srgbClr val="00B0F0"/>
              </a:solidFill>
            </a:rPr>
            <a:t>Celková úplata dynamické ÚF (varianta 2) </a:t>
          </a:r>
        </a:p>
      </cdr:txBody>
    </cdr:sp>
  </cdr:relSizeAnchor>
  <cdr:relSizeAnchor xmlns:cdr="http://schemas.openxmlformats.org/drawingml/2006/chartDrawing">
    <cdr:from>
      <cdr:x>0.45475</cdr:x>
      <cdr:y>0.49688</cdr:y>
    </cdr:from>
    <cdr:to>
      <cdr:x>0.83596</cdr:x>
      <cdr:y>0.55081</cdr:y>
    </cdr:to>
    <cdr:sp macro="" textlink="">
      <cdr:nvSpPr>
        <cdr:cNvPr id="15" name="TextovéPole 1"/>
        <cdr:cNvSpPr txBox="1"/>
      </cdr:nvSpPr>
      <cdr:spPr>
        <a:xfrm xmlns:a="http://schemas.openxmlformats.org/drawingml/2006/main">
          <a:off x="2619375" y="1967646"/>
          <a:ext cx="2195755" cy="213580"/>
        </a:xfrm>
        <a:prstGeom xmlns:a="http://schemas.openxmlformats.org/drawingml/2006/main" prst="rect">
          <a:avLst/>
        </a:prstGeom>
        <a:ln xmlns:a="http://schemas.openxmlformats.org/drawingml/2006/main">
          <a:solidFill>
            <a:sysClr val="windowText" lastClr="000000"/>
          </a:solidFill>
        </a:ln>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cs-CZ" sz="900" b="0">
              <a:solidFill>
                <a:sysClr val="windowText" lastClr="000000"/>
              </a:solidFill>
            </a:rPr>
            <a:t>Celková úplata </a:t>
          </a:r>
          <a:r>
            <a:rPr lang="cs-CZ" sz="900" b="0" baseline="0">
              <a:solidFill>
                <a:sysClr val="windowText" lastClr="000000"/>
              </a:solidFill>
            </a:rPr>
            <a:t>PKF</a:t>
          </a:r>
          <a:r>
            <a:rPr lang="cs-CZ" sz="900" b="0">
              <a:solidFill>
                <a:sysClr val="windowText" lastClr="000000"/>
              </a:solidFill>
            </a:rPr>
            <a:t> (</a:t>
          </a:r>
          <a:r>
            <a:rPr lang="cs-CZ" sz="900" b="0">
              <a:solidFill>
                <a:srgbClr val="00B050"/>
              </a:solidFill>
            </a:rPr>
            <a:t>varianta 0</a:t>
          </a:r>
          <a:r>
            <a:rPr lang="cs-CZ" sz="900" b="0" baseline="0">
              <a:solidFill>
                <a:srgbClr val="00B050"/>
              </a:solidFill>
            </a:rPr>
            <a:t> </a:t>
          </a:r>
          <a:r>
            <a:rPr lang="cs-CZ" sz="900" b="0" baseline="0">
              <a:solidFill>
                <a:sysClr val="windowText" lastClr="000000"/>
              </a:solidFill>
            </a:rPr>
            <a:t>+</a:t>
          </a:r>
          <a:r>
            <a:rPr lang="cs-CZ" sz="900" b="0" baseline="0">
              <a:solidFill>
                <a:srgbClr val="C00000"/>
              </a:solidFill>
            </a:rPr>
            <a:t> </a:t>
          </a:r>
          <a:r>
            <a:rPr lang="cs-CZ" sz="900" b="0" baseline="0">
              <a:solidFill>
                <a:srgbClr val="00B0F0"/>
              </a:solidFill>
            </a:rPr>
            <a:t>varianta 2</a:t>
          </a:r>
          <a:r>
            <a:rPr lang="cs-CZ" sz="900" b="0">
              <a:solidFill>
                <a:sysClr val="windowText" lastClr="000000"/>
              </a:solidFill>
            </a:rPr>
            <a:t>)</a:t>
          </a:r>
          <a:r>
            <a:rPr lang="cs-CZ" sz="900" b="0">
              <a:solidFill>
                <a:srgbClr val="C00000"/>
              </a:solidFill>
            </a:rPr>
            <a:t> </a:t>
          </a:r>
        </a:p>
      </cdr:txBody>
    </cdr:sp>
  </cdr:relSizeAnchor>
  <cdr:relSizeAnchor xmlns:cdr="http://schemas.openxmlformats.org/drawingml/2006/chartDrawing">
    <cdr:from>
      <cdr:x>0.77129</cdr:x>
      <cdr:y>0.55279</cdr:y>
    </cdr:from>
    <cdr:to>
      <cdr:x>0.7918</cdr:x>
      <cdr:y>0.63311</cdr:y>
    </cdr:to>
    <cdr:cxnSp macro="">
      <cdr:nvCxnSpPr>
        <cdr:cNvPr id="8" name="Přímá spojnice 7"/>
        <cdr:cNvCxnSpPr/>
      </cdr:nvCxnSpPr>
      <cdr:spPr>
        <a:xfrm xmlns:a="http://schemas.openxmlformats.org/drawingml/2006/main">
          <a:off x="4657725" y="2228850"/>
          <a:ext cx="123825" cy="32385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20B4B-DFEC-4D78-86B9-056F42DD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11691</Words>
  <Characters>68980</Characters>
  <Application>Microsoft Office Word</Application>
  <DocSecurity>0</DocSecurity>
  <Lines>574</Lines>
  <Paragraphs>161</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80510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dc:creator>
  <cp:lastModifiedBy>Kubátová Irena Mgr.</cp:lastModifiedBy>
  <cp:revision>14</cp:revision>
  <cp:lastPrinted>2020-02-28T12:43:00Z</cp:lastPrinted>
  <dcterms:created xsi:type="dcterms:W3CDTF">2026-06-02T15:02:00Z</dcterms:created>
  <dcterms:modified xsi:type="dcterms:W3CDTF">2026-06-03T07:08:00Z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